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A27D" w14:textId="59954FB4" w:rsidR="003E1439" w:rsidRDefault="003E1439" w:rsidP="002009AB">
      <w:pPr>
        <w:jc w:val="center"/>
        <w:rPr>
          <w:sz w:val="32"/>
          <w:szCs w:val="32"/>
        </w:rPr>
      </w:pPr>
      <w:r>
        <w:rPr>
          <w:noProof/>
        </w:rPr>
        <w:drawing>
          <wp:inline distT="0" distB="0" distL="0" distR="0" wp14:anchorId="7EAC234F" wp14:editId="07E6F65B">
            <wp:extent cx="5274310" cy="17506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750695"/>
                    </a:xfrm>
                    <a:prstGeom prst="rect">
                      <a:avLst/>
                    </a:prstGeom>
                  </pic:spPr>
                </pic:pic>
              </a:graphicData>
            </a:graphic>
          </wp:inline>
        </w:drawing>
      </w:r>
    </w:p>
    <w:p w14:paraId="501F925E" w14:textId="0494B39B" w:rsidR="003E1439" w:rsidRPr="003E1439" w:rsidRDefault="003E1439" w:rsidP="003E1439">
      <w:pPr>
        <w:jc w:val="right"/>
        <w:rPr>
          <w:rFonts w:hint="eastAsia"/>
        </w:rPr>
      </w:pPr>
      <w:hyperlink r:id="rId6" w:history="1">
        <w:r>
          <w:rPr>
            <w:rFonts w:ascii="Times New Roman" w:hAnsi="Times New Roman" w:cs="Times New Roman"/>
            <w:kern w:val="0"/>
            <w:sz w:val="18"/>
            <w:szCs w:val="18"/>
          </w:rPr>
          <w:t>https://doi.org/10.1002/imt2.38</w:t>
        </w:r>
      </w:hyperlink>
    </w:p>
    <w:p w14:paraId="3418EB5A" w14:textId="555C2304" w:rsidR="0054329C" w:rsidRPr="00A143C7" w:rsidRDefault="000A27EB" w:rsidP="00A143C7">
      <w:pPr>
        <w:shd w:val="clear" w:color="auto" w:fill="FFFFFF"/>
        <w:spacing w:line="480" w:lineRule="auto"/>
        <w:jc w:val="center"/>
        <w:outlineLvl w:val="0"/>
        <w:rPr>
          <w:rFonts w:ascii="Times New Roman" w:hAnsi="Times New Roman" w:cs="Times New Roman"/>
          <w:b/>
          <w:bCs/>
          <w:iCs/>
          <w:sz w:val="32"/>
          <w:szCs w:val="32"/>
        </w:rPr>
      </w:pPr>
      <w:r w:rsidRPr="00A143C7">
        <w:rPr>
          <w:rFonts w:ascii="Times New Roman" w:hAnsi="Times New Roman" w:cs="Times New Roman" w:hint="eastAsia"/>
          <w:b/>
          <w:bCs/>
          <w:iCs/>
          <w:sz w:val="32"/>
          <w:szCs w:val="32"/>
        </w:rPr>
        <w:t>短读长</w:t>
      </w:r>
      <w:r w:rsidR="00687BFE" w:rsidRPr="00A143C7">
        <w:rPr>
          <w:rFonts w:ascii="Times New Roman" w:hAnsi="Times New Roman" w:cs="Times New Roman" w:hint="eastAsia"/>
          <w:b/>
          <w:bCs/>
          <w:iCs/>
          <w:sz w:val="32"/>
          <w:szCs w:val="32"/>
        </w:rPr>
        <w:t>扩增子</w:t>
      </w:r>
      <w:r w:rsidR="00627FF8" w:rsidRPr="00A143C7">
        <w:rPr>
          <w:rFonts w:ascii="Times New Roman" w:hAnsi="Times New Roman" w:cs="Times New Roman" w:hint="eastAsia"/>
          <w:b/>
          <w:bCs/>
          <w:iCs/>
          <w:sz w:val="32"/>
          <w:szCs w:val="32"/>
        </w:rPr>
        <w:t>测序</w:t>
      </w:r>
      <w:r w:rsidR="00687BFE" w:rsidRPr="00A143C7">
        <w:rPr>
          <w:rFonts w:ascii="Times New Roman" w:hAnsi="Times New Roman" w:cs="Times New Roman" w:hint="eastAsia"/>
          <w:b/>
          <w:bCs/>
          <w:iCs/>
          <w:sz w:val="32"/>
          <w:szCs w:val="32"/>
        </w:rPr>
        <w:t>是否</w:t>
      </w:r>
      <w:r w:rsidR="003E1439" w:rsidRPr="00A143C7">
        <w:rPr>
          <w:rFonts w:ascii="Times New Roman" w:hAnsi="Times New Roman" w:cs="Times New Roman" w:hint="eastAsia"/>
          <w:b/>
          <w:bCs/>
          <w:iCs/>
          <w:sz w:val="32"/>
          <w:szCs w:val="32"/>
        </w:rPr>
        <w:t>适</w:t>
      </w:r>
      <w:r w:rsidR="00687BFE" w:rsidRPr="00A143C7">
        <w:rPr>
          <w:rFonts w:ascii="Times New Roman" w:hAnsi="Times New Roman" w:cs="Times New Roman" w:hint="eastAsia"/>
          <w:b/>
          <w:bCs/>
          <w:iCs/>
          <w:sz w:val="32"/>
          <w:szCs w:val="32"/>
        </w:rPr>
        <w:t>用于微生物</w:t>
      </w:r>
      <w:proofErr w:type="gramStart"/>
      <w:r w:rsidR="003E1439" w:rsidRPr="00A143C7">
        <w:rPr>
          <w:rFonts w:ascii="Times New Roman" w:hAnsi="Times New Roman" w:cs="Times New Roman" w:hint="eastAsia"/>
          <w:b/>
          <w:bCs/>
          <w:iCs/>
          <w:sz w:val="32"/>
          <w:szCs w:val="32"/>
        </w:rPr>
        <w:t>组</w:t>
      </w:r>
      <w:r w:rsidR="00687BFE" w:rsidRPr="00A143C7">
        <w:rPr>
          <w:rFonts w:ascii="Times New Roman" w:hAnsi="Times New Roman" w:cs="Times New Roman" w:hint="eastAsia"/>
          <w:b/>
          <w:bCs/>
          <w:iCs/>
          <w:sz w:val="32"/>
          <w:szCs w:val="32"/>
        </w:rPr>
        <w:t>功能</w:t>
      </w:r>
      <w:proofErr w:type="gramEnd"/>
      <w:r w:rsidRPr="00A143C7">
        <w:rPr>
          <w:rFonts w:ascii="Times New Roman" w:hAnsi="Times New Roman" w:cs="Times New Roman" w:hint="eastAsia"/>
          <w:b/>
          <w:bCs/>
          <w:iCs/>
          <w:sz w:val="32"/>
          <w:szCs w:val="32"/>
        </w:rPr>
        <w:t>的预测</w:t>
      </w:r>
      <w:r w:rsidR="00687BFE" w:rsidRPr="00A143C7">
        <w:rPr>
          <w:rFonts w:ascii="Times New Roman" w:hAnsi="Times New Roman" w:cs="Times New Roman" w:hint="eastAsia"/>
          <w:b/>
          <w:bCs/>
          <w:iCs/>
          <w:sz w:val="32"/>
          <w:szCs w:val="32"/>
        </w:rPr>
        <w:t>？</w:t>
      </w:r>
    </w:p>
    <w:p w14:paraId="3B09B948" w14:textId="77777777" w:rsidR="008912E9" w:rsidRDefault="008912E9" w:rsidP="006968C3">
      <w:pPr>
        <w:pStyle w:val="a3"/>
        <w:spacing w:before="0" w:beforeAutospacing="0" w:after="0" w:afterAutospacing="0"/>
        <w:rPr>
          <w:rFonts w:asciiTheme="minorEastAsia" w:hAnsiTheme="minorEastAsia" w:cs="Times New Roman"/>
          <w:b/>
          <w:bCs/>
          <w:color w:val="333333"/>
          <w:szCs w:val="21"/>
        </w:rPr>
      </w:pPr>
    </w:p>
    <w:p w14:paraId="4403797D" w14:textId="228958DC" w:rsidR="006968C3" w:rsidRDefault="008912E9" w:rsidP="006968C3">
      <w:pPr>
        <w:pStyle w:val="a3"/>
        <w:spacing w:before="0" w:beforeAutospacing="0" w:after="0" w:afterAutospacing="0"/>
        <w:rPr>
          <w:rFonts w:hint="eastAsia"/>
          <w:sz w:val="21"/>
          <w:szCs w:val="21"/>
        </w:rPr>
      </w:pPr>
      <w:r>
        <w:rPr>
          <w:rFonts w:ascii="Times New Roman" w:eastAsia="Times New Roman" w:hAnsi="Times New Roman" w:cs="Times New Roman"/>
          <w:color w:val="000000"/>
        </w:rPr>
        <w:t>Vitor Heidrich</w:t>
      </w:r>
      <w:r w:rsidR="002009AB">
        <w:rPr>
          <w:rFonts w:ascii="Times New Roman" w:eastAsiaTheme="minorEastAsia" w:hAnsi="Times New Roman" w:cs="Times New Roman" w:hint="eastAsia"/>
          <w:color w:val="000000"/>
        </w:rPr>
        <w:t>（</w:t>
      </w:r>
      <w:hyperlink r:id="rId7">
        <w:r w:rsidR="002009AB">
          <w:rPr>
            <w:rFonts w:ascii="Times New Roman" w:eastAsia="Times New Roman" w:hAnsi="Times New Roman" w:cs="Times New Roman"/>
            <w:color w:val="1155CC"/>
            <w:sz w:val="22"/>
            <w:szCs w:val="22"/>
            <w:u w:val="single"/>
          </w:rPr>
          <w:t>vheidrich@mochsl.org.br</w:t>
        </w:r>
      </w:hyperlink>
      <w:r w:rsidR="002009AB">
        <w:rPr>
          <w:rFonts w:ascii="Times New Roman" w:eastAsiaTheme="minorEastAsia" w:hAnsi="Times New Roman" w:cs="Times New Roman" w:hint="eastAsia"/>
          <w:color w:val="000000"/>
        </w:rPr>
        <w:t>）</w:t>
      </w:r>
      <w:r w:rsidR="00167ECE">
        <w:rPr>
          <w:sz w:val="21"/>
          <w:szCs w:val="21"/>
        </w:rPr>
        <w:t xml:space="preserve"> </w:t>
      </w:r>
      <w:r w:rsidR="003E1439">
        <w:rPr>
          <w:rFonts w:hint="eastAsia"/>
          <w:sz w:val="21"/>
          <w:szCs w:val="21"/>
        </w:rPr>
        <w:t>巴西</w:t>
      </w:r>
      <w:r w:rsidR="003E1439">
        <w:rPr>
          <w:rFonts w:hint="eastAsia"/>
          <w:sz w:val="21"/>
          <w:szCs w:val="21"/>
        </w:rPr>
        <w:t>圣保罗，</w:t>
      </w:r>
      <w:proofErr w:type="spellStart"/>
      <w:r w:rsidRPr="00167ECE">
        <w:rPr>
          <w:rFonts w:ascii="Times New Roman" w:eastAsia="Times New Roman" w:hAnsi="Times New Roman" w:cs="Times New Roman"/>
          <w:color w:val="000000"/>
        </w:rPr>
        <w:t>Sírio-Libanês</w:t>
      </w:r>
      <w:proofErr w:type="spellEnd"/>
      <w:r w:rsidR="00167ECE">
        <w:rPr>
          <w:rFonts w:hint="eastAsia"/>
          <w:sz w:val="21"/>
          <w:szCs w:val="21"/>
        </w:rPr>
        <w:t>医院</w:t>
      </w:r>
      <w:r w:rsidR="00167ECE" w:rsidRPr="00167ECE">
        <w:rPr>
          <w:rFonts w:hint="eastAsia"/>
          <w:sz w:val="21"/>
          <w:szCs w:val="21"/>
        </w:rPr>
        <w:t>肿瘤分子诊断中心</w:t>
      </w:r>
      <w:r w:rsidR="00167ECE">
        <w:rPr>
          <w:rFonts w:hint="eastAsia"/>
          <w:sz w:val="21"/>
          <w:szCs w:val="21"/>
        </w:rPr>
        <w:t>/</w:t>
      </w:r>
      <w:r w:rsidR="00167ECE" w:rsidRPr="00167ECE">
        <w:rPr>
          <w:rFonts w:hint="eastAsia"/>
          <w:sz w:val="21"/>
          <w:szCs w:val="21"/>
        </w:rPr>
        <w:t>圣保罗大学化学研究所生物化学系</w:t>
      </w:r>
      <w:r w:rsidR="003E1439">
        <w:rPr>
          <w:rFonts w:hint="eastAsia"/>
          <w:sz w:val="21"/>
          <w:szCs w:val="21"/>
        </w:rPr>
        <w:t xml:space="preserve">， </w:t>
      </w:r>
    </w:p>
    <w:p w14:paraId="545892DD" w14:textId="627039C5" w:rsidR="00167ECE" w:rsidRDefault="00167ECE" w:rsidP="006968C3">
      <w:pPr>
        <w:pStyle w:val="a3"/>
        <w:spacing w:before="0" w:beforeAutospacing="0" w:after="0" w:afterAutospacing="0"/>
      </w:pPr>
      <w:r>
        <w:rPr>
          <w:rFonts w:ascii="Times New Roman" w:eastAsia="Times New Roman" w:hAnsi="Times New Roman" w:cs="Times New Roman"/>
          <w:color w:val="000000"/>
        </w:rPr>
        <w:t xml:space="preserve">Lukas </w:t>
      </w:r>
      <w:proofErr w:type="spellStart"/>
      <w:r>
        <w:rPr>
          <w:rFonts w:ascii="Times New Roman" w:eastAsia="Times New Roman" w:hAnsi="Times New Roman" w:cs="Times New Roman"/>
          <w:color w:val="000000"/>
        </w:rPr>
        <w:t>Beule</w:t>
      </w:r>
      <w:proofErr w:type="spellEnd"/>
      <w:r w:rsidR="002009AB">
        <w:rPr>
          <w:rFonts w:ascii="Times New Roman" w:eastAsiaTheme="minorEastAsia" w:hAnsi="Times New Roman" w:cs="Times New Roman" w:hint="eastAsia"/>
          <w:color w:val="000000"/>
        </w:rPr>
        <w:t>（</w:t>
      </w:r>
      <w:hyperlink r:id="rId8">
        <w:r w:rsidR="002009AB">
          <w:rPr>
            <w:rFonts w:ascii="Times New Roman" w:eastAsia="Times New Roman" w:hAnsi="Times New Roman" w:cs="Times New Roman"/>
            <w:color w:val="1155CC"/>
            <w:sz w:val="22"/>
            <w:szCs w:val="22"/>
            <w:u w:val="single"/>
          </w:rPr>
          <w:t>lukas.beule@julius-kuehn.de</w:t>
        </w:r>
      </w:hyperlink>
      <w:r w:rsidR="002009AB">
        <w:rPr>
          <w:rFonts w:ascii="Times New Roman" w:eastAsiaTheme="minorEastAsia" w:hAnsi="Times New Roman" w:cs="Times New Roman" w:hint="eastAsia"/>
          <w:color w:val="000000"/>
        </w:rPr>
        <w:t>）</w:t>
      </w:r>
      <w:r w:rsidR="00A143C7">
        <w:rPr>
          <w:rFonts w:hint="eastAsia"/>
          <w:color w:val="000000"/>
        </w:rPr>
        <w:t>德国</w:t>
      </w:r>
      <w:r w:rsidR="00A143C7">
        <w:rPr>
          <w:rFonts w:hint="eastAsia"/>
          <w:color w:val="000000"/>
        </w:rPr>
        <w:t>柏林，</w:t>
      </w:r>
      <w:r w:rsidR="002009AB">
        <w:rPr>
          <w:rFonts w:hint="eastAsia"/>
          <w:color w:val="000000"/>
        </w:rPr>
        <w:t>生</w:t>
      </w:r>
      <w:r w:rsidR="00A143C7">
        <w:rPr>
          <w:rFonts w:hint="eastAsia"/>
          <w:color w:val="000000"/>
        </w:rPr>
        <w:t>态</w:t>
      </w:r>
      <w:r w:rsidR="002009AB">
        <w:rPr>
          <w:rFonts w:hint="eastAsia"/>
          <w:color w:val="000000"/>
        </w:rPr>
        <w:t>化</w:t>
      </w:r>
      <w:r w:rsidR="00A143C7">
        <w:rPr>
          <w:rFonts w:hint="eastAsia"/>
          <w:color w:val="000000"/>
        </w:rPr>
        <w:t>学/</w:t>
      </w:r>
      <w:r w:rsidRPr="00167ECE">
        <w:rPr>
          <w:rFonts w:hint="eastAsia"/>
          <w:color w:val="000000"/>
        </w:rPr>
        <w:t>植物分析和储存产品保护研究</w:t>
      </w:r>
      <w:r w:rsidR="002009AB">
        <w:rPr>
          <w:rFonts w:hint="eastAsia"/>
          <w:color w:val="000000"/>
        </w:rPr>
        <w:t>院，</w:t>
      </w:r>
      <w:r w:rsidR="002009AB" w:rsidRPr="002009AB">
        <w:rPr>
          <w:rFonts w:hint="eastAsia"/>
          <w:color w:val="000000"/>
        </w:rPr>
        <w:t>朱利叶斯库恩研究所</w:t>
      </w:r>
      <w:r w:rsidR="00A143C7">
        <w:rPr>
          <w:rFonts w:hint="eastAsia"/>
          <w:color w:val="000000"/>
        </w:rPr>
        <w:t>(</w:t>
      </w:r>
      <w:r w:rsidR="00A143C7">
        <w:rPr>
          <w:color w:val="000000"/>
        </w:rPr>
        <w:t>JKI)</w:t>
      </w:r>
      <w:r w:rsidRPr="00167ECE">
        <w:rPr>
          <w:rFonts w:ascii="Times New Roman" w:eastAsia="Times New Roman" w:hAnsi="Times New Roman" w:cs="Times New Roman" w:hint="eastAsia"/>
          <w:color w:val="000000"/>
        </w:rPr>
        <w:t>—</w:t>
      </w:r>
      <w:r w:rsidR="002009AB" w:rsidRPr="00167ECE">
        <w:rPr>
          <w:rFonts w:hint="eastAsia"/>
          <w:color w:val="000000"/>
        </w:rPr>
        <w:t>栽培植物</w:t>
      </w:r>
      <w:r w:rsidRPr="00167ECE">
        <w:rPr>
          <w:rFonts w:hint="eastAsia"/>
          <w:color w:val="000000"/>
        </w:rPr>
        <w:t>联邦</w:t>
      </w:r>
      <w:r w:rsidR="002009AB">
        <w:rPr>
          <w:rFonts w:hint="eastAsia"/>
          <w:color w:val="000000"/>
        </w:rPr>
        <w:t>研究中心</w:t>
      </w:r>
      <w:r w:rsidR="003E1439">
        <w:rPr>
          <w:rFonts w:hint="eastAsia"/>
          <w:color w:val="000000"/>
        </w:rPr>
        <w:t>，</w:t>
      </w:r>
      <w:r w:rsidR="00A143C7">
        <w:t xml:space="preserve"> </w:t>
      </w:r>
    </w:p>
    <w:p w14:paraId="65071C0C" w14:textId="77777777" w:rsidR="00687BFE" w:rsidRDefault="00687BFE"/>
    <w:p w14:paraId="5CCBEA8C" w14:textId="77777777" w:rsidR="002009AB" w:rsidRDefault="002009AB"/>
    <w:p w14:paraId="55B30C77" w14:textId="77777777" w:rsidR="00A143C7" w:rsidRPr="00A143C7" w:rsidRDefault="002009AB" w:rsidP="00A143C7">
      <w:pPr>
        <w:spacing w:line="480" w:lineRule="auto"/>
        <w:outlineLvl w:val="1"/>
        <w:rPr>
          <w:rFonts w:ascii="Times New Roman" w:hAnsi="Times New Roman" w:cs="Times New Roman"/>
          <w:b/>
          <w:sz w:val="30"/>
          <w:szCs w:val="30"/>
        </w:rPr>
      </w:pPr>
      <w:r w:rsidRPr="00A143C7">
        <w:rPr>
          <w:rFonts w:ascii="Times New Roman" w:hAnsi="Times New Roman" w:cs="Times New Roman" w:hint="eastAsia"/>
          <w:b/>
          <w:sz w:val="30"/>
          <w:szCs w:val="30"/>
        </w:rPr>
        <w:t>摘要</w:t>
      </w:r>
    </w:p>
    <w:p w14:paraId="15F1F62C" w14:textId="539D3968" w:rsidR="002009AB" w:rsidRDefault="0021777D">
      <w:r w:rsidRPr="000E310A">
        <w:rPr>
          <w:rFonts w:hint="eastAsia"/>
        </w:rPr>
        <w:t>标记基因的分类学</w:t>
      </w:r>
      <w:r>
        <w:rPr>
          <w:rFonts w:hint="eastAsia"/>
        </w:rPr>
        <w:t>分析可以较低</w:t>
      </w:r>
      <w:r w:rsidRPr="0021777D">
        <w:rPr>
          <w:rFonts w:hint="eastAsia"/>
        </w:rPr>
        <w:t>成本揭示微生物群落的分类概况，</w:t>
      </w:r>
      <w:r w:rsidR="000A4C92">
        <w:rPr>
          <w:rFonts w:hint="eastAsia"/>
        </w:rPr>
        <w:t>所以</w:t>
      </w:r>
      <w:r w:rsidRPr="0021777D">
        <w:rPr>
          <w:rFonts w:hint="eastAsia"/>
        </w:rPr>
        <w:t>在微生物组研究中</w:t>
      </w:r>
      <w:r w:rsidR="000A4C92">
        <w:rPr>
          <w:rFonts w:hint="eastAsia"/>
        </w:rPr>
        <w:t>使用频率较高</w:t>
      </w:r>
      <w:r w:rsidRPr="0021777D">
        <w:rPr>
          <w:rFonts w:hint="eastAsia"/>
        </w:rPr>
        <w:t>。</w:t>
      </w:r>
      <w:r w:rsidR="000A4C92" w:rsidRPr="000A4C92">
        <w:rPr>
          <w:rFonts w:hint="eastAsia"/>
        </w:rPr>
        <w:t>现在有越来越多的工具可以从这类数据中提取更多的生物信息。</w:t>
      </w:r>
      <w:r w:rsidR="000A4C92">
        <w:rPr>
          <w:rFonts w:hint="eastAsia"/>
        </w:rPr>
        <w:t>在这篇</w:t>
      </w:r>
      <w:r w:rsidR="00DB58BE" w:rsidRPr="00DB58BE">
        <w:rPr>
          <w:rFonts w:hint="eastAsia"/>
        </w:rPr>
        <w:t>观点</w:t>
      </w:r>
      <w:r w:rsidR="000A4C92">
        <w:rPr>
          <w:rFonts w:hint="eastAsia"/>
        </w:rPr>
        <w:t>中</w:t>
      </w:r>
      <w:r w:rsidR="000A4C92" w:rsidRPr="000A4C92">
        <w:rPr>
          <w:rFonts w:hint="eastAsia"/>
        </w:rPr>
        <w:t>，我们阐述了</w:t>
      </w:r>
      <w:r w:rsidR="00AF1456">
        <w:rPr>
          <w:rFonts w:hint="eastAsia"/>
        </w:rPr>
        <w:t>利用</w:t>
      </w:r>
      <w:r w:rsidR="000A4C92" w:rsidRPr="000A4C92">
        <w:rPr>
          <w:rFonts w:hint="eastAsia"/>
        </w:rPr>
        <w:t>分类</w:t>
      </w:r>
      <w:r w:rsidR="00DB58BE">
        <w:rPr>
          <w:rFonts w:hint="eastAsia"/>
        </w:rPr>
        <w:t>组成</w:t>
      </w:r>
      <w:r w:rsidR="00636638">
        <w:rPr>
          <w:rFonts w:hint="eastAsia"/>
        </w:rPr>
        <w:t>（</w:t>
      </w:r>
      <w:r w:rsidR="00636638" w:rsidRPr="000A4C92">
        <w:rPr>
          <w:rFonts w:hint="eastAsia"/>
        </w:rPr>
        <w:t>特别是</w:t>
      </w:r>
      <w:r w:rsidR="00636638">
        <w:rPr>
          <w:rFonts w:hint="eastAsia"/>
        </w:rPr>
        <w:t>来源于</w:t>
      </w:r>
      <w:r w:rsidR="00636638" w:rsidRPr="000A4C92">
        <w:rPr>
          <w:rFonts w:hint="eastAsia"/>
        </w:rPr>
        <w:t>短读</w:t>
      </w:r>
      <w:r w:rsidR="00636638">
        <w:rPr>
          <w:rFonts w:hint="eastAsia"/>
        </w:rPr>
        <w:t>长</w:t>
      </w:r>
      <w:r w:rsidR="00636638" w:rsidRPr="000A4C92">
        <w:rPr>
          <w:rFonts w:hint="eastAsia"/>
        </w:rPr>
        <w:t>测序时</w:t>
      </w:r>
      <w:r w:rsidR="00636638">
        <w:rPr>
          <w:rFonts w:hint="eastAsia"/>
        </w:rPr>
        <w:t>）</w:t>
      </w:r>
      <w:r w:rsidR="000A4C92" w:rsidRPr="000A4C92">
        <w:rPr>
          <w:rFonts w:hint="eastAsia"/>
        </w:rPr>
        <w:t>预测</w:t>
      </w:r>
      <w:r w:rsidR="00AF1456">
        <w:rPr>
          <w:rFonts w:hint="eastAsia"/>
        </w:rPr>
        <w:t>微生物</w:t>
      </w:r>
      <w:proofErr w:type="gramStart"/>
      <w:r w:rsidR="00DB58BE">
        <w:rPr>
          <w:rFonts w:hint="eastAsia"/>
        </w:rPr>
        <w:t>组</w:t>
      </w:r>
      <w:r w:rsidR="000A4C92" w:rsidRPr="000A4C92">
        <w:rPr>
          <w:rFonts w:hint="eastAsia"/>
        </w:rPr>
        <w:t>功能</w:t>
      </w:r>
      <w:proofErr w:type="gramEnd"/>
      <w:r w:rsidR="00AF1456">
        <w:rPr>
          <w:rFonts w:hint="eastAsia"/>
        </w:rPr>
        <w:t>之</w:t>
      </w:r>
      <w:r w:rsidR="000A4C92" w:rsidRPr="000A4C92">
        <w:rPr>
          <w:rFonts w:hint="eastAsia"/>
        </w:rPr>
        <w:t>生物学</w:t>
      </w:r>
      <w:r w:rsidR="00AF1456">
        <w:rPr>
          <w:rFonts w:hint="eastAsia"/>
        </w:rPr>
        <w:t>可信度方面</w:t>
      </w:r>
      <w:r w:rsidR="00AF1456">
        <w:t>的一些担忧</w:t>
      </w:r>
      <w:r w:rsidR="000A4C92" w:rsidRPr="000A4C92">
        <w:rPr>
          <w:rFonts w:hint="eastAsia"/>
        </w:rPr>
        <w:t>，</w:t>
      </w:r>
      <w:r w:rsidR="00636638" w:rsidRPr="00636638">
        <w:rPr>
          <w:rFonts w:hint="eastAsia"/>
        </w:rPr>
        <w:t>讨论了标记基因的分类学分辨率、标记基因的基因组内变异以及微生物组数据的组成性质。</w:t>
      </w:r>
      <w:r w:rsidR="00D101C4" w:rsidRPr="00D101C4">
        <w:rPr>
          <w:rFonts w:hint="eastAsia"/>
        </w:rPr>
        <w:t>将微生物</w:t>
      </w:r>
      <w:proofErr w:type="gramStart"/>
      <w:r w:rsidR="00D101C4" w:rsidRPr="00D101C4">
        <w:rPr>
          <w:rFonts w:hint="eastAsia"/>
        </w:rPr>
        <w:t>组功能</w:t>
      </w:r>
      <w:proofErr w:type="gramEnd"/>
      <w:r w:rsidR="00D101C4" w:rsidRPr="00D101C4">
        <w:rPr>
          <w:rFonts w:hint="eastAsia"/>
        </w:rPr>
        <w:t>的实际测</w:t>
      </w:r>
      <w:r w:rsidR="00D101C4">
        <w:rPr>
          <w:rFonts w:hint="eastAsia"/>
        </w:rPr>
        <w:t>定</w:t>
      </w:r>
      <w:r w:rsidR="00D101C4" w:rsidRPr="00D101C4">
        <w:rPr>
          <w:rFonts w:hint="eastAsia"/>
        </w:rPr>
        <w:t>与预测相结合</w:t>
      </w:r>
      <w:r w:rsidR="003A371D">
        <w:rPr>
          <w:rFonts w:hint="eastAsia"/>
        </w:rPr>
        <w:t>可以</w:t>
      </w:r>
      <w:r w:rsidR="00D101C4" w:rsidRPr="00D101C4">
        <w:rPr>
          <w:rFonts w:hint="eastAsia"/>
        </w:rPr>
        <w:t>更好地理解微生物组功能。</w:t>
      </w:r>
      <w:r w:rsidR="003A371D">
        <w:rPr>
          <w:rFonts w:hint="eastAsia"/>
        </w:rPr>
        <w:t>文中我们</w:t>
      </w:r>
      <w:r w:rsidR="003A371D">
        <w:t>强调了</w:t>
      </w:r>
      <w:r w:rsidR="003A371D" w:rsidRPr="003A371D">
        <w:rPr>
          <w:rFonts w:hint="eastAsia"/>
        </w:rPr>
        <w:t>功能预测</w:t>
      </w:r>
      <w:r w:rsidR="003A371D">
        <w:rPr>
          <w:rFonts w:hint="eastAsia"/>
        </w:rPr>
        <w:t>对</w:t>
      </w:r>
      <w:r w:rsidR="003A371D" w:rsidRPr="003A371D">
        <w:rPr>
          <w:rFonts w:hint="eastAsia"/>
        </w:rPr>
        <w:t>产生和</w:t>
      </w:r>
      <w:r w:rsidR="003A371D">
        <w:rPr>
          <w:rFonts w:hint="eastAsia"/>
        </w:rPr>
        <w:t>验证</w:t>
      </w:r>
      <w:r w:rsidR="003A371D" w:rsidRPr="003A371D">
        <w:rPr>
          <w:rFonts w:hint="eastAsia"/>
        </w:rPr>
        <w:t>假设</w:t>
      </w:r>
      <w:r w:rsidR="003A371D">
        <w:rPr>
          <w:rFonts w:hint="eastAsia"/>
        </w:rPr>
        <w:t>的</w:t>
      </w:r>
      <w:r w:rsidR="003A371D" w:rsidRPr="003A371D">
        <w:rPr>
          <w:rFonts w:hint="eastAsia"/>
        </w:rPr>
        <w:t>重要性。我们认为，</w:t>
      </w:r>
      <w:r w:rsidR="000E310A">
        <w:rPr>
          <w:rFonts w:hint="eastAsia"/>
        </w:rPr>
        <w:t>在</w:t>
      </w:r>
      <w:r w:rsidR="000E310A">
        <w:t>提取微生物组</w:t>
      </w:r>
      <w:r w:rsidR="000E310A">
        <w:t>DNA</w:t>
      </w:r>
      <w:r w:rsidR="000E310A">
        <w:t>的基础上进行</w:t>
      </w:r>
      <w:r w:rsidR="003A371D" w:rsidRPr="003A371D">
        <w:rPr>
          <w:rFonts w:hint="eastAsia"/>
        </w:rPr>
        <w:t>短读</w:t>
      </w:r>
      <w:r w:rsidR="000E310A">
        <w:rPr>
          <w:rFonts w:hint="eastAsia"/>
        </w:rPr>
        <w:t>长</w:t>
      </w:r>
      <w:r w:rsidR="003A371D" w:rsidRPr="003A371D">
        <w:rPr>
          <w:rFonts w:hint="eastAsia"/>
        </w:rPr>
        <w:t>扩增子测序</w:t>
      </w:r>
      <w:r w:rsidR="000E310A">
        <w:rPr>
          <w:rFonts w:hint="eastAsia"/>
        </w:rPr>
        <w:t>预测</w:t>
      </w:r>
      <w:r w:rsidR="003A371D" w:rsidRPr="003A371D">
        <w:rPr>
          <w:rFonts w:hint="eastAsia"/>
        </w:rPr>
        <w:t>微生物</w:t>
      </w:r>
      <w:proofErr w:type="gramStart"/>
      <w:r w:rsidR="003A371D" w:rsidRPr="003A371D">
        <w:rPr>
          <w:rFonts w:hint="eastAsia"/>
        </w:rPr>
        <w:t>组功能</w:t>
      </w:r>
      <w:proofErr w:type="gramEnd"/>
      <w:r w:rsidR="003A371D" w:rsidRPr="003A371D">
        <w:rPr>
          <w:rFonts w:hint="eastAsia"/>
        </w:rPr>
        <w:t>不应作为生物学推断的唯一</w:t>
      </w:r>
      <w:r w:rsidR="000E310A">
        <w:rPr>
          <w:rFonts w:hint="eastAsia"/>
        </w:rPr>
        <w:t>基准</w:t>
      </w:r>
      <w:r w:rsidR="003A371D" w:rsidRPr="003A371D">
        <w:rPr>
          <w:rFonts w:hint="eastAsia"/>
        </w:rPr>
        <w:t>。</w:t>
      </w:r>
    </w:p>
    <w:p w14:paraId="7E7DAC61" w14:textId="77777777" w:rsidR="000E310A" w:rsidRDefault="000E310A"/>
    <w:p w14:paraId="364B007F" w14:textId="11A7922C" w:rsidR="000E310A" w:rsidRDefault="000E310A">
      <w:r w:rsidRPr="008862C6">
        <w:rPr>
          <w:rFonts w:hint="eastAsia"/>
          <w:b/>
          <w:bCs/>
        </w:rPr>
        <w:t>关键词</w:t>
      </w:r>
      <w:r>
        <w:t>：</w:t>
      </w:r>
      <w:r w:rsidRPr="000E310A">
        <w:rPr>
          <w:rFonts w:hint="eastAsia"/>
        </w:rPr>
        <w:t>组成数据，功能潜力</w:t>
      </w:r>
      <w:r w:rsidR="00DB58BE">
        <w:rPr>
          <w:rFonts w:hint="eastAsia"/>
        </w:rPr>
        <w:t>组成</w:t>
      </w:r>
      <w:r w:rsidRPr="000E310A">
        <w:rPr>
          <w:rFonts w:hint="eastAsia"/>
        </w:rPr>
        <w:t>，</w:t>
      </w:r>
      <w:r w:rsidR="006F5F8B" w:rsidRPr="000E310A">
        <w:rPr>
          <w:rFonts w:hint="eastAsia"/>
        </w:rPr>
        <w:t>标记基因</w:t>
      </w:r>
      <w:r w:rsidR="006F5F8B">
        <w:rPr>
          <w:rFonts w:hint="eastAsia"/>
        </w:rPr>
        <w:t>的</w:t>
      </w:r>
      <w:r w:rsidRPr="000E310A">
        <w:rPr>
          <w:rFonts w:hint="eastAsia"/>
        </w:rPr>
        <w:t>基因组内变异性，微生物功能，微生物组数据，短读</w:t>
      </w:r>
      <w:r>
        <w:rPr>
          <w:rFonts w:hint="eastAsia"/>
        </w:rPr>
        <w:t>长</w:t>
      </w:r>
      <w:r w:rsidRPr="000E310A">
        <w:rPr>
          <w:rFonts w:hint="eastAsia"/>
        </w:rPr>
        <w:t>扩增子测序，分类学分辨率</w:t>
      </w:r>
    </w:p>
    <w:p w14:paraId="765EDA54" w14:textId="77777777" w:rsidR="000E310A" w:rsidRDefault="000E310A"/>
    <w:p w14:paraId="2FEAD2AF" w14:textId="5FAB9603" w:rsidR="006F5F8B" w:rsidRPr="00A143C7" w:rsidRDefault="000E310A" w:rsidP="00A143C7">
      <w:pPr>
        <w:spacing w:line="480" w:lineRule="auto"/>
        <w:outlineLvl w:val="1"/>
        <w:rPr>
          <w:rFonts w:ascii="Times New Roman" w:hAnsi="Times New Roman" w:cs="Times New Roman" w:hint="eastAsia"/>
          <w:b/>
          <w:sz w:val="30"/>
          <w:szCs w:val="30"/>
        </w:rPr>
      </w:pPr>
      <w:r w:rsidRPr="00A143C7">
        <w:rPr>
          <w:rFonts w:ascii="Times New Roman" w:hAnsi="Times New Roman" w:cs="Times New Roman" w:hint="eastAsia"/>
          <w:b/>
          <w:sz w:val="30"/>
          <w:szCs w:val="30"/>
        </w:rPr>
        <w:t>亮点</w:t>
      </w:r>
    </w:p>
    <w:p w14:paraId="5EA15B50" w14:textId="77777777" w:rsidR="000E310A" w:rsidRDefault="006F5F8B" w:rsidP="006F5F8B">
      <w:pPr>
        <w:pStyle w:val="a6"/>
        <w:numPr>
          <w:ilvl w:val="0"/>
          <w:numId w:val="1"/>
        </w:numPr>
        <w:ind w:firstLineChars="0"/>
      </w:pPr>
      <w:r w:rsidRPr="000A4C92">
        <w:rPr>
          <w:rFonts w:hint="eastAsia"/>
        </w:rPr>
        <w:t>阐述了</w:t>
      </w:r>
      <w:r>
        <w:rPr>
          <w:rFonts w:hint="eastAsia"/>
        </w:rPr>
        <w:t>利用</w:t>
      </w:r>
      <w:r w:rsidRPr="000E310A">
        <w:rPr>
          <w:rFonts w:hint="eastAsia"/>
        </w:rPr>
        <w:t>微生物组数据集</w:t>
      </w:r>
      <w:r w:rsidRPr="000A4C92">
        <w:rPr>
          <w:rFonts w:hint="eastAsia"/>
        </w:rPr>
        <w:t>分类</w:t>
      </w:r>
      <w:proofErr w:type="gramStart"/>
      <w:r w:rsidRPr="000A4C92">
        <w:rPr>
          <w:rFonts w:hint="eastAsia"/>
        </w:rPr>
        <w:t>谱预测</w:t>
      </w:r>
      <w:proofErr w:type="gramEnd"/>
      <w:r>
        <w:rPr>
          <w:rFonts w:hint="eastAsia"/>
        </w:rPr>
        <w:t>微生物潜在</w:t>
      </w:r>
      <w:r w:rsidRPr="000A4C92">
        <w:rPr>
          <w:rFonts w:hint="eastAsia"/>
        </w:rPr>
        <w:t>功能</w:t>
      </w:r>
      <w:r>
        <w:rPr>
          <w:rFonts w:hint="eastAsia"/>
        </w:rPr>
        <w:t>之</w:t>
      </w:r>
      <w:r w:rsidRPr="000A4C92">
        <w:rPr>
          <w:rFonts w:hint="eastAsia"/>
        </w:rPr>
        <w:t>生物学</w:t>
      </w:r>
      <w:r>
        <w:rPr>
          <w:rFonts w:hint="eastAsia"/>
        </w:rPr>
        <w:t>可信度方面</w:t>
      </w:r>
      <w:r>
        <w:t>的一些</w:t>
      </w:r>
      <w:r>
        <w:rPr>
          <w:rFonts w:hint="eastAsia"/>
        </w:rPr>
        <w:t>问题。</w:t>
      </w:r>
    </w:p>
    <w:p w14:paraId="6F3900CC" w14:textId="77777777" w:rsidR="006F5F8B" w:rsidRDefault="006F5F8B" w:rsidP="006F5F8B">
      <w:pPr>
        <w:pStyle w:val="a6"/>
        <w:numPr>
          <w:ilvl w:val="0"/>
          <w:numId w:val="1"/>
        </w:numPr>
        <w:ind w:firstLineChars="0"/>
      </w:pPr>
      <w:r w:rsidRPr="00636638">
        <w:rPr>
          <w:rFonts w:hint="eastAsia"/>
        </w:rPr>
        <w:t>讨论了标记基因的分类学分辨率、标记基因的基因组内变异以及微生物组数据的组成性质。</w:t>
      </w:r>
    </w:p>
    <w:p w14:paraId="78E09229" w14:textId="77777777" w:rsidR="006F5F8B" w:rsidRDefault="009A4FA1" w:rsidP="006F5F8B">
      <w:pPr>
        <w:pStyle w:val="a6"/>
        <w:numPr>
          <w:ilvl w:val="0"/>
          <w:numId w:val="1"/>
        </w:numPr>
        <w:ind w:firstLineChars="0"/>
      </w:pPr>
      <w:r w:rsidRPr="00D101C4">
        <w:rPr>
          <w:rFonts w:hint="eastAsia"/>
        </w:rPr>
        <w:t>将微生物</w:t>
      </w:r>
      <w:proofErr w:type="gramStart"/>
      <w:r w:rsidRPr="00D101C4">
        <w:rPr>
          <w:rFonts w:hint="eastAsia"/>
        </w:rPr>
        <w:t>组功能</w:t>
      </w:r>
      <w:proofErr w:type="gramEnd"/>
      <w:r w:rsidRPr="00D101C4">
        <w:rPr>
          <w:rFonts w:hint="eastAsia"/>
        </w:rPr>
        <w:t>的实际测</w:t>
      </w:r>
      <w:r>
        <w:rPr>
          <w:rFonts w:hint="eastAsia"/>
        </w:rPr>
        <w:t>定</w:t>
      </w:r>
      <w:r w:rsidRPr="00D101C4">
        <w:rPr>
          <w:rFonts w:hint="eastAsia"/>
        </w:rPr>
        <w:t>与预测相结合</w:t>
      </w:r>
      <w:r>
        <w:rPr>
          <w:rFonts w:hint="eastAsia"/>
        </w:rPr>
        <w:t>是</w:t>
      </w:r>
      <w:r w:rsidRPr="00D101C4">
        <w:rPr>
          <w:rFonts w:hint="eastAsia"/>
        </w:rPr>
        <w:t>理解微生物</w:t>
      </w:r>
      <w:proofErr w:type="gramStart"/>
      <w:r w:rsidRPr="00D101C4">
        <w:rPr>
          <w:rFonts w:hint="eastAsia"/>
        </w:rPr>
        <w:t>组功能</w:t>
      </w:r>
      <w:proofErr w:type="gramEnd"/>
      <w:r>
        <w:rPr>
          <w:rFonts w:hint="eastAsia"/>
        </w:rPr>
        <w:t>的一个好办法</w:t>
      </w:r>
      <w:r w:rsidRPr="00D101C4">
        <w:rPr>
          <w:rFonts w:hint="eastAsia"/>
        </w:rPr>
        <w:t>。</w:t>
      </w:r>
    </w:p>
    <w:p w14:paraId="5A541911" w14:textId="77777777" w:rsidR="00ED1D86" w:rsidRDefault="00ED1D86" w:rsidP="00ED1D86"/>
    <w:p w14:paraId="675289D9" w14:textId="310C9346" w:rsidR="00ED1D86" w:rsidRDefault="005C5BDB" w:rsidP="00ED1D86">
      <w:r>
        <w:rPr>
          <w:noProof/>
        </w:rPr>
        <w:lastRenderedPageBreak/>
        <w:drawing>
          <wp:inline distT="0" distB="0" distL="0" distR="0" wp14:anchorId="06ADF901" wp14:editId="6CFC95D2">
            <wp:extent cx="5274310" cy="631698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6316980"/>
                    </a:xfrm>
                    <a:prstGeom prst="rect">
                      <a:avLst/>
                    </a:prstGeom>
                  </pic:spPr>
                </pic:pic>
              </a:graphicData>
            </a:graphic>
          </wp:inline>
        </w:drawing>
      </w:r>
    </w:p>
    <w:p w14:paraId="4A7AB32E" w14:textId="77777777" w:rsidR="005C5BDB" w:rsidRDefault="005C5BDB" w:rsidP="00ED1D86">
      <w:pPr>
        <w:rPr>
          <w:rFonts w:hint="eastAsia"/>
        </w:rPr>
      </w:pPr>
    </w:p>
    <w:p w14:paraId="647F4084" w14:textId="77777777" w:rsidR="00ED1D86" w:rsidRPr="00DB58BE" w:rsidRDefault="00ED1D86" w:rsidP="00DB58BE">
      <w:pPr>
        <w:spacing w:line="480" w:lineRule="auto"/>
        <w:outlineLvl w:val="1"/>
        <w:rPr>
          <w:rFonts w:ascii="Times New Roman" w:hAnsi="Times New Roman" w:cs="Times New Roman"/>
          <w:b/>
          <w:sz w:val="30"/>
          <w:szCs w:val="30"/>
        </w:rPr>
      </w:pPr>
      <w:r w:rsidRPr="00DB58BE">
        <w:rPr>
          <w:rFonts w:ascii="Times New Roman" w:hAnsi="Times New Roman" w:cs="Times New Roman" w:hint="eastAsia"/>
          <w:b/>
          <w:sz w:val="30"/>
          <w:szCs w:val="30"/>
        </w:rPr>
        <w:t>引言</w:t>
      </w:r>
    </w:p>
    <w:p w14:paraId="00DAFD5F" w14:textId="77777777" w:rsidR="00ED1D86" w:rsidRDefault="00446BD3" w:rsidP="00AB6D1B">
      <w:pPr>
        <w:ind w:firstLineChars="200" w:firstLine="420"/>
        <w:rPr>
          <w:rFonts w:ascii="Times New Roman" w:hAnsi="Times New Roman" w:cs="Times New Roman"/>
        </w:rPr>
      </w:pPr>
      <w:r w:rsidRPr="00446BD3">
        <w:rPr>
          <w:rFonts w:hint="eastAsia"/>
        </w:rPr>
        <w:t>在过去的</w:t>
      </w:r>
      <w:r w:rsidRPr="00446BD3">
        <w:rPr>
          <w:rFonts w:hint="eastAsia"/>
        </w:rPr>
        <w:t>20</w:t>
      </w:r>
      <w:r w:rsidRPr="00446BD3">
        <w:rPr>
          <w:rFonts w:hint="eastAsia"/>
        </w:rPr>
        <w:t>年里，</w:t>
      </w:r>
      <w:r>
        <w:rPr>
          <w:rFonts w:hint="eastAsia"/>
        </w:rPr>
        <w:t>二</w:t>
      </w:r>
      <w:r w:rsidRPr="00446BD3">
        <w:rPr>
          <w:rFonts w:hint="eastAsia"/>
        </w:rPr>
        <w:t>代测序</w:t>
      </w:r>
      <w:r w:rsidRPr="00446BD3">
        <w:rPr>
          <w:rFonts w:hint="eastAsia"/>
        </w:rPr>
        <w:t>(NGS)</w:t>
      </w:r>
      <w:r w:rsidRPr="00446BD3">
        <w:rPr>
          <w:rFonts w:hint="eastAsia"/>
        </w:rPr>
        <w:t>技术</w:t>
      </w:r>
      <w:r>
        <w:rPr>
          <w:rFonts w:hint="eastAsia"/>
        </w:rPr>
        <w:t>广泛用于</w:t>
      </w:r>
      <w:r w:rsidRPr="00446BD3">
        <w:rPr>
          <w:rFonts w:hint="eastAsia"/>
        </w:rPr>
        <w:t>微生物群落分析。现</w:t>
      </w:r>
      <w:r>
        <w:rPr>
          <w:rFonts w:hint="eastAsia"/>
        </w:rPr>
        <w:t>在的</w:t>
      </w:r>
      <w:r w:rsidRPr="00446BD3">
        <w:rPr>
          <w:rFonts w:hint="eastAsia"/>
        </w:rPr>
        <w:t>NGS</w:t>
      </w:r>
      <w:r w:rsidRPr="00446BD3">
        <w:rPr>
          <w:rFonts w:hint="eastAsia"/>
        </w:rPr>
        <w:t>平台价格实惠，允许用户</w:t>
      </w:r>
      <w:r>
        <w:rPr>
          <w:rFonts w:hint="eastAsia"/>
        </w:rPr>
        <w:t>同时测试</w:t>
      </w:r>
      <w:r w:rsidRPr="00446BD3">
        <w:rPr>
          <w:rFonts w:hint="eastAsia"/>
        </w:rPr>
        <w:t>大</w:t>
      </w:r>
      <w:r>
        <w:rPr>
          <w:rFonts w:hint="eastAsia"/>
        </w:rPr>
        <w:t>批</w:t>
      </w:r>
      <w:r w:rsidRPr="00446BD3">
        <w:rPr>
          <w:rFonts w:hint="eastAsia"/>
        </w:rPr>
        <w:t>量样本，并具有较高的</w:t>
      </w:r>
      <w:r>
        <w:rPr>
          <w:rFonts w:hint="eastAsia"/>
        </w:rPr>
        <w:t>碱基读取</w:t>
      </w:r>
      <w:r w:rsidRPr="00446BD3">
        <w:rPr>
          <w:rFonts w:hint="eastAsia"/>
        </w:rPr>
        <w:t>精度。</w:t>
      </w:r>
      <w:r>
        <w:rPr>
          <w:rFonts w:hint="eastAsia"/>
        </w:rPr>
        <w:t>这些技术使研究人员能够破译不同生境</w:t>
      </w:r>
      <w:r w:rsidRPr="00446BD3">
        <w:rPr>
          <w:rFonts w:hint="eastAsia"/>
        </w:rPr>
        <w:t>微生物群落的组成</w:t>
      </w:r>
      <w:r>
        <w:rPr>
          <w:rFonts w:ascii="Times New Roman" w:eastAsia="Times New Roman" w:hAnsi="Times New Roman" w:cs="Times New Roman"/>
        </w:rPr>
        <w:t>(e.g., [1–3])</w:t>
      </w:r>
      <w:r>
        <w:rPr>
          <w:rFonts w:ascii="Times New Roman" w:hAnsi="Times New Roman" w:cs="Times New Roman" w:hint="eastAsia"/>
        </w:rPr>
        <w:t>。</w:t>
      </w:r>
      <w:r w:rsidRPr="00446BD3">
        <w:rPr>
          <w:rFonts w:ascii="Times New Roman" w:hAnsi="Times New Roman" w:cs="Times New Roman" w:hint="eastAsia"/>
        </w:rPr>
        <w:t>随着微生物组研究的迅速</w:t>
      </w:r>
      <w:r w:rsidR="008305A1">
        <w:rPr>
          <w:rFonts w:ascii="Times New Roman" w:hAnsi="Times New Roman" w:cs="Times New Roman" w:hint="eastAsia"/>
        </w:rPr>
        <w:t>发展</w:t>
      </w:r>
      <w:r w:rsidRPr="00446BD3">
        <w:rPr>
          <w:rFonts w:ascii="Times New Roman" w:hAnsi="Times New Roman" w:cs="Times New Roman" w:hint="eastAsia"/>
        </w:rPr>
        <w:t>，</w:t>
      </w:r>
      <w:r w:rsidR="008305A1">
        <w:rPr>
          <w:rFonts w:ascii="Times New Roman" w:hAnsi="Times New Roman" w:cs="Times New Roman" w:hint="eastAsia"/>
        </w:rPr>
        <w:t>出现</w:t>
      </w:r>
      <w:r w:rsidR="008305A1">
        <w:rPr>
          <w:rFonts w:ascii="Times New Roman" w:hAnsi="Times New Roman" w:cs="Times New Roman"/>
        </w:rPr>
        <w:t>了</w:t>
      </w:r>
      <w:r w:rsidR="008305A1">
        <w:rPr>
          <w:rFonts w:ascii="Times New Roman" w:hAnsi="Times New Roman" w:cs="Times New Roman" w:hint="eastAsia"/>
        </w:rPr>
        <w:t>一些可以从微生物组数据集的分类情</w:t>
      </w:r>
      <w:r w:rsidR="008305A1" w:rsidRPr="00446BD3">
        <w:rPr>
          <w:rFonts w:ascii="Times New Roman" w:hAnsi="Times New Roman" w:cs="Times New Roman" w:hint="eastAsia"/>
        </w:rPr>
        <w:t>况预测功能潜力概况</w:t>
      </w:r>
      <w:r w:rsidR="008305A1">
        <w:rPr>
          <w:rFonts w:ascii="Times New Roman" w:hAnsi="Times New Roman" w:cs="Times New Roman" w:hint="eastAsia"/>
        </w:rPr>
        <w:t>的工具</w:t>
      </w:r>
      <w:r w:rsidR="008305A1">
        <w:rPr>
          <w:rFonts w:ascii="Times New Roman" w:eastAsia="Times New Roman" w:hAnsi="Times New Roman" w:cs="Times New Roman"/>
        </w:rPr>
        <w:t>[4]</w:t>
      </w:r>
      <w:r w:rsidR="008305A1">
        <w:rPr>
          <w:rFonts w:ascii="Times New Roman" w:hAnsi="Times New Roman" w:cs="Times New Roman" w:hint="eastAsia"/>
        </w:rPr>
        <w:t>。</w:t>
      </w:r>
      <w:r w:rsidR="008C0070">
        <w:rPr>
          <w:rFonts w:ascii="Times New Roman" w:hAnsi="Times New Roman" w:cs="Times New Roman" w:hint="eastAsia"/>
        </w:rPr>
        <w:t>微生物潜在功能谱</w:t>
      </w:r>
      <w:r w:rsidR="008C0070" w:rsidRPr="008C0070">
        <w:rPr>
          <w:rFonts w:ascii="Times New Roman" w:hAnsi="Times New Roman" w:cs="Times New Roman" w:hint="eastAsia"/>
        </w:rPr>
        <w:t>通常列出微生物组中</w:t>
      </w:r>
      <w:r w:rsidR="008C0070">
        <w:rPr>
          <w:rFonts w:ascii="Times New Roman" w:hAnsi="Times New Roman" w:cs="Times New Roman" w:hint="eastAsia"/>
        </w:rPr>
        <w:t>可能</w:t>
      </w:r>
      <w:r w:rsidR="008C0070">
        <w:rPr>
          <w:rFonts w:ascii="Times New Roman" w:hAnsi="Times New Roman" w:cs="Times New Roman"/>
        </w:rPr>
        <w:t>会</w:t>
      </w:r>
      <w:r w:rsidR="008C0070" w:rsidRPr="008C0070">
        <w:rPr>
          <w:rFonts w:ascii="Times New Roman" w:hAnsi="Times New Roman" w:cs="Times New Roman" w:hint="eastAsia"/>
        </w:rPr>
        <w:t>存在的微生物功能</w:t>
      </w:r>
      <w:r w:rsidR="008C0070">
        <w:rPr>
          <w:rFonts w:ascii="Times New Roman" w:hAnsi="Times New Roman" w:cs="Times New Roman" w:hint="eastAsia"/>
        </w:rPr>
        <w:t>，并根据预测</w:t>
      </w:r>
      <w:r w:rsidR="008C0070">
        <w:rPr>
          <w:rFonts w:ascii="Times New Roman" w:hAnsi="Times New Roman" w:cs="Times New Roman"/>
        </w:rPr>
        <w:t>的微生物丰度揭示</w:t>
      </w:r>
      <w:r w:rsidR="008C0070">
        <w:rPr>
          <w:rFonts w:ascii="Times New Roman" w:hAnsi="Times New Roman" w:cs="Times New Roman" w:hint="eastAsia"/>
        </w:rPr>
        <w:t>相应</w:t>
      </w:r>
      <w:r w:rsidR="008C0070">
        <w:rPr>
          <w:rFonts w:ascii="Times New Roman" w:hAnsi="Times New Roman" w:cs="Times New Roman"/>
        </w:rPr>
        <w:t>的微生物</w:t>
      </w:r>
      <w:r w:rsidR="008C0070">
        <w:rPr>
          <w:rFonts w:ascii="Times New Roman" w:hAnsi="Times New Roman" w:cs="Times New Roman" w:hint="eastAsia"/>
        </w:rPr>
        <w:t>功能</w:t>
      </w:r>
      <w:r w:rsidR="008C0070">
        <w:rPr>
          <w:rFonts w:ascii="Times New Roman" w:hAnsi="Times New Roman" w:cs="Times New Roman"/>
        </w:rPr>
        <w:t>的</w:t>
      </w:r>
      <w:r w:rsidR="008C0070" w:rsidRPr="008C0070">
        <w:rPr>
          <w:rFonts w:ascii="Times New Roman" w:hAnsi="Times New Roman" w:cs="Times New Roman" w:hint="eastAsia"/>
        </w:rPr>
        <w:t>相对重要性</w:t>
      </w:r>
      <w:r w:rsidR="008C0070">
        <w:rPr>
          <w:rFonts w:ascii="Times New Roman" w:hAnsi="Times New Roman" w:cs="Times New Roman" w:hint="eastAsia"/>
        </w:rPr>
        <w:t>。</w:t>
      </w:r>
      <w:r w:rsidR="00AE05C6" w:rsidRPr="00AE05C6">
        <w:rPr>
          <w:rFonts w:ascii="Times New Roman" w:hAnsi="Times New Roman" w:cs="Times New Roman" w:hint="eastAsia"/>
        </w:rPr>
        <w:t>微生物功能对理解</w:t>
      </w:r>
      <w:r w:rsidR="00AE05C6">
        <w:rPr>
          <w:rFonts w:ascii="Times New Roman" w:hAnsi="Times New Roman" w:cs="Times New Roman" w:hint="eastAsia"/>
        </w:rPr>
        <w:t>微生物群落</w:t>
      </w:r>
      <w:r w:rsidR="00AE05C6" w:rsidRPr="00AE05C6">
        <w:rPr>
          <w:rFonts w:ascii="Times New Roman" w:hAnsi="Times New Roman" w:cs="Times New Roman" w:hint="eastAsia"/>
        </w:rPr>
        <w:t>很重要，</w:t>
      </w:r>
      <w:r w:rsidR="00AE05C6">
        <w:rPr>
          <w:rFonts w:ascii="Times New Roman" w:hAnsi="Times New Roman" w:cs="Times New Roman" w:hint="eastAsia"/>
        </w:rPr>
        <w:t>而</w:t>
      </w:r>
      <w:r w:rsidR="00AE05C6" w:rsidRPr="00AE05C6">
        <w:rPr>
          <w:rFonts w:ascii="Times New Roman" w:hAnsi="Times New Roman" w:cs="Times New Roman" w:hint="eastAsia"/>
        </w:rPr>
        <w:t>这些工具</w:t>
      </w:r>
      <w:r w:rsidR="00AE05C6">
        <w:rPr>
          <w:rFonts w:ascii="Times New Roman" w:hAnsi="Times New Roman" w:cs="Times New Roman" w:hint="eastAsia"/>
        </w:rPr>
        <w:t>可以</w:t>
      </w:r>
      <w:r w:rsidR="00AE05C6" w:rsidRPr="00AE05C6">
        <w:rPr>
          <w:rFonts w:ascii="Times New Roman" w:hAnsi="Times New Roman" w:cs="Times New Roman" w:hint="eastAsia"/>
        </w:rPr>
        <w:t>补充微生物组分类学数据集。</w:t>
      </w:r>
      <w:r w:rsidR="00B13C96" w:rsidRPr="00B13C96">
        <w:rPr>
          <w:rFonts w:ascii="Times New Roman" w:hAnsi="Times New Roman" w:cs="Times New Roman" w:hint="eastAsia"/>
        </w:rPr>
        <w:t>尽管这些工具提供了</w:t>
      </w:r>
      <w:r w:rsidR="00B13C96">
        <w:rPr>
          <w:rFonts w:ascii="Times New Roman" w:hAnsi="Times New Roman" w:cs="Times New Roman" w:hint="eastAsia"/>
        </w:rPr>
        <w:t>许多额外的信息，在这篇文章</w:t>
      </w:r>
      <w:r w:rsidR="00B13C96">
        <w:rPr>
          <w:rFonts w:ascii="Times New Roman" w:hAnsi="Times New Roman" w:cs="Times New Roman"/>
        </w:rPr>
        <w:t>中</w:t>
      </w:r>
      <w:r w:rsidR="00B13C96">
        <w:rPr>
          <w:rFonts w:ascii="Times New Roman" w:hAnsi="Times New Roman" w:cs="Times New Roman" w:hint="eastAsia"/>
        </w:rPr>
        <w:t>我们</w:t>
      </w:r>
      <w:r w:rsidR="00B13C96" w:rsidRPr="00B13C96">
        <w:rPr>
          <w:rFonts w:ascii="Times New Roman" w:hAnsi="Times New Roman" w:cs="Times New Roman" w:hint="eastAsia"/>
        </w:rPr>
        <w:t>就使用短读</w:t>
      </w:r>
      <w:r w:rsidR="00B13C96">
        <w:rPr>
          <w:rFonts w:ascii="Times New Roman" w:hAnsi="Times New Roman" w:cs="Times New Roman" w:hint="eastAsia"/>
        </w:rPr>
        <w:t>长</w:t>
      </w:r>
      <w:r w:rsidR="00B13C96" w:rsidRPr="00B13C96">
        <w:rPr>
          <w:rFonts w:ascii="Times New Roman" w:hAnsi="Times New Roman" w:cs="Times New Roman" w:hint="eastAsia"/>
        </w:rPr>
        <w:t>扩增子测序产生的微生物组数据集的分类注释来推导微生物功能表达了一些担忧。</w:t>
      </w:r>
      <w:r w:rsidR="00AE2D6E" w:rsidRPr="00AE2D6E">
        <w:rPr>
          <w:rFonts w:ascii="宋体" w:eastAsia="宋体" w:hAnsi="宋体" w:cs="宋体" w:hint="eastAsia"/>
        </w:rPr>
        <w:t>虽然预测算法本身已经讨论</w:t>
      </w:r>
      <w:r w:rsidR="00AE2D6E">
        <w:rPr>
          <w:rFonts w:ascii="宋体" w:eastAsia="宋体" w:hAnsi="宋体" w:cs="宋体" w:hint="eastAsia"/>
        </w:rPr>
        <w:t>得</w:t>
      </w:r>
      <w:r w:rsidR="00AE2D6E">
        <w:rPr>
          <w:rFonts w:ascii="宋体" w:eastAsia="宋体" w:hAnsi="宋体" w:cs="宋体"/>
        </w:rPr>
        <w:t>很深入</w:t>
      </w:r>
      <w:r w:rsidR="00AE2D6E">
        <w:rPr>
          <w:rFonts w:ascii="Times New Roman" w:eastAsia="Times New Roman" w:hAnsi="Times New Roman" w:cs="Times New Roman"/>
        </w:rPr>
        <w:t>(e.g., [4])</w:t>
      </w:r>
      <w:r w:rsidR="00AE2D6E">
        <w:rPr>
          <w:rFonts w:ascii="Times New Roman" w:hAnsi="Times New Roman" w:cs="Times New Roman" w:hint="eastAsia"/>
        </w:rPr>
        <w:t>，我们</w:t>
      </w:r>
      <w:r w:rsidR="00AE2D6E" w:rsidRPr="00AE2D6E">
        <w:rPr>
          <w:rFonts w:ascii="Times New Roman" w:hAnsi="Times New Roman" w:cs="Times New Roman" w:hint="eastAsia"/>
        </w:rPr>
        <w:t>关注的是短读</w:t>
      </w:r>
      <w:r w:rsidR="00AE2D6E">
        <w:rPr>
          <w:rFonts w:ascii="Times New Roman" w:hAnsi="Times New Roman" w:cs="Times New Roman" w:hint="eastAsia"/>
        </w:rPr>
        <w:t>长</w:t>
      </w:r>
      <w:r w:rsidR="00AE2D6E" w:rsidRPr="00AE2D6E">
        <w:rPr>
          <w:rFonts w:ascii="Times New Roman" w:hAnsi="Times New Roman" w:cs="Times New Roman" w:hint="eastAsia"/>
        </w:rPr>
        <w:t>扩增子测序数据预测</w:t>
      </w:r>
      <w:r w:rsidR="00AE2D6E">
        <w:rPr>
          <w:rFonts w:ascii="Times New Roman" w:hAnsi="Times New Roman" w:cs="Times New Roman" w:hint="eastAsia"/>
        </w:rPr>
        <w:t>微生物</w:t>
      </w:r>
      <w:r w:rsidR="00AE2D6E" w:rsidRPr="00AE2D6E">
        <w:rPr>
          <w:rFonts w:ascii="Times New Roman" w:hAnsi="Times New Roman" w:cs="Times New Roman" w:hint="eastAsia"/>
        </w:rPr>
        <w:t>功能的适用性，而不是预测算法的效率。</w:t>
      </w:r>
    </w:p>
    <w:p w14:paraId="6C36CAD3" w14:textId="77777777" w:rsidR="006F2CA4" w:rsidRDefault="006F2CA4" w:rsidP="00ED1D86">
      <w:pPr>
        <w:rPr>
          <w:rFonts w:ascii="Times New Roman" w:hAnsi="Times New Roman" w:cs="Times New Roman"/>
        </w:rPr>
      </w:pPr>
    </w:p>
    <w:p w14:paraId="0D0FEC07" w14:textId="77777777" w:rsidR="006F2CA4" w:rsidRPr="00DB58BE" w:rsidRDefault="006F2CA4" w:rsidP="00DB58BE">
      <w:pPr>
        <w:spacing w:line="480" w:lineRule="auto"/>
        <w:outlineLvl w:val="1"/>
        <w:rPr>
          <w:rFonts w:ascii="Times New Roman" w:hAnsi="Times New Roman" w:cs="Times New Roman"/>
          <w:b/>
          <w:sz w:val="30"/>
          <w:szCs w:val="30"/>
        </w:rPr>
      </w:pPr>
      <w:r w:rsidRPr="00DB58BE">
        <w:rPr>
          <w:rFonts w:ascii="Times New Roman" w:hAnsi="Times New Roman" w:cs="Times New Roman" w:hint="eastAsia"/>
          <w:b/>
          <w:sz w:val="30"/>
          <w:szCs w:val="30"/>
        </w:rPr>
        <w:t>扩增子测序的分类学分辨率</w:t>
      </w:r>
    </w:p>
    <w:p w14:paraId="36DE92CC" w14:textId="77777777" w:rsidR="00AB6D1B" w:rsidRDefault="006F2CA4" w:rsidP="00AB6D1B">
      <w:pPr>
        <w:ind w:firstLineChars="200" w:firstLine="420"/>
        <w:rPr>
          <w:rFonts w:ascii="Times New Roman" w:eastAsia="Times New Roman" w:hAnsi="Times New Roman" w:cs="Times New Roman"/>
        </w:rPr>
      </w:pPr>
      <w:r w:rsidRPr="006F2CA4">
        <w:rPr>
          <w:rFonts w:hint="eastAsia"/>
        </w:rPr>
        <w:t>在</w:t>
      </w:r>
      <w:r>
        <w:rPr>
          <w:rFonts w:hint="eastAsia"/>
        </w:rPr>
        <w:t>下笔</w:t>
      </w:r>
      <w:r w:rsidRPr="006F2CA4">
        <w:rPr>
          <w:rFonts w:hint="eastAsia"/>
        </w:rPr>
        <w:t>时，使用</w:t>
      </w:r>
      <w:r w:rsidRPr="006F2CA4">
        <w:rPr>
          <w:rFonts w:hint="eastAsia"/>
        </w:rPr>
        <w:t>Illumina</w:t>
      </w:r>
      <w:r w:rsidRPr="006F2CA4">
        <w:rPr>
          <w:rFonts w:hint="eastAsia"/>
        </w:rPr>
        <w:t>平台的短读</w:t>
      </w:r>
      <w:r>
        <w:rPr>
          <w:rFonts w:hint="eastAsia"/>
        </w:rPr>
        <w:t>长</w:t>
      </w:r>
      <w:r w:rsidRPr="006F2CA4">
        <w:rPr>
          <w:rFonts w:hint="eastAsia"/>
        </w:rPr>
        <w:t>扩增子测序是最常见的测序技术。在</w:t>
      </w:r>
      <w:r w:rsidRPr="006F2CA4">
        <w:rPr>
          <w:rFonts w:hint="eastAsia"/>
        </w:rPr>
        <w:t>Illumina</w:t>
      </w:r>
      <w:r w:rsidRPr="006F2CA4">
        <w:rPr>
          <w:rFonts w:hint="eastAsia"/>
        </w:rPr>
        <w:t>广泛使用的</w:t>
      </w:r>
      <w:proofErr w:type="spellStart"/>
      <w:r w:rsidRPr="006F2CA4">
        <w:rPr>
          <w:rFonts w:hint="eastAsia"/>
        </w:rPr>
        <w:t>MiSeq</w:t>
      </w:r>
      <w:proofErr w:type="spellEnd"/>
      <w:r w:rsidRPr="006F2CA4">
        <w:rPr>
          <w:rFonts w:hint="eastAsia"/>
        </w:rPr>
        <w:t>系统上，</w:t>
      </w:r>
      <w:r w:rsidR="003F1792">
        <w:rPr>
          <w:rFonts w:hint="eastAsia"/>
        </w:rPr>
        <w:t>短序列</w:t>
      </w:r>
      <w:r w:rsidR="003F1792">
        <w:t>的双端测序</w:t>
      </w:r>
      <w:r w:rsidRPr="006F2CA4">
        <w:rPr>
          <w:rFonts w:hint="eastAsia"/>
        </w:rPr>
        <w:t>可以产生多达</w:t>
      </w:r>
      <w:r w:rsidRPr="006F2CA4">
        <w:rPr>
          <w:rFonts w:hint="eastAsia"/>
        </w:rPr>
        <w:t>2</w:t>
      </w:r>
      <w:r>
        <w:rPr>
          <w:rFonts w:hint="eastAsia"/>
        </w:rPr>
        <w:t>×</w:t>
      </w:r>
      <w:r w:rsidRPr="006F2CA4">
        <w:rPr>
          <w:rFonts w:hint="eastAsia"/>
        </w:rPr>
        <w:t>300</w:t>
      </w:r>
      <w:r w:rsidRPr="006F2CA4">
        <w:rPr>
          <w:rFonts w:hint="eastAsia"/>
        </w:rPr>
        <w:t>个碱基对</w:t>
      </w:r>
      <w:r w:rsidR="003F1792">
        <w:rPr>
          <w:rFonts w:hint="eastAsia"/>
        </w:rPr>
        <w:t>。</w:t>
      </w:r>
      <w:r w:rsidR="002A3F26" w:rsidRPr="002A3F26">
        <w:rPr>
          <w:rFonts w:hint="eastAsia"/>
        </w:rPr>
        <w:t>在微生物分析中，短读</w:t>
      </w:r>
      <w:r w:rsidR="002A3F26">
        <w:rPr>
          <w:rFonts w:hint="eastAsia"/>
        </w:rPr>
        <w:t>长</w:t>
      </w:r>
      <w:r w:rsidR="002A3F26" w:rsidRPr="002A3F26">
        <w:rPr>
          <w:rFonts w:hint="eastAsia"/>
        </w:rPr>
        <w:t>扩增子测序最常用的</w:t>
      </w:r>
      <w:r w:rsidR="002A3F26">
        <w:rPr>
          <w:rFonts w:hint="eastAsia"/>
        </w:rPr>
        <w:t>对象</w:t>
      </w:r>
      <w:r w:rsidR="002A3F26" w:rsidRPr="002A3F26">
        <w:rPr>
          <w:rFonts w:hint="eastAsia"/>
        </w:rPr>
        <w:t>是具有分类学信息的</w:t>
      </w:r>
      <w:r w:rsidR="00701CFC">
        <w:rPr>
          <w:rFonts w:hint="eastAsia"/>
        </w:rPr>
        <w:t>细菌</w:t>
      </w:r>
      <w:r w:rsidR="002A3F26" w:rsidRPr="002A3F26">
        <w:rPr>
          <w:rFonts w:hint="eastAsia"/>
        </w:rPr>
        <w:t>16S</w:t>
      </w:r>
      <w:r w:rsidR="002A3F26" w:rsidRPr="002A3F26">
        <w:rPr>
          <w:rFonts w:hint="eastAsia"/>
        </w:rPr>
        <w:t>核糖体</w:t>
      </w:r>
      <w:r w:rsidR="002A3F26" w:rsidRPr="002A3F26">
        <w:rPr>
          <w:rFonts w:hint="eastAsia"/>
        </w:rPr>
        <w:t>RNA (rRNA)</w:t>
      </w:r>
      <w:r w:rsidR="002A3F26" w:rsidRPr="002A3F26">
        <w:rPr>
          <w:rFonts w:hint="eastAsia"/>
        </w:rPr>
        <w:t>和</w:t>
      </w:r>
      <w:r w:rsidR="00701CFC">
        <w:rPr>
          <w:rFonts w:hint="eastAsia"/>
        </w:rPr>
        <w:t>真菌</w:t>
      </w:r>
      <w:r w:rsidR="004C48C2">
        <w:rPr>
          <w:rFonts w:hint="eastAsia"/>
        </w:rPr>
        <w:t>内</w:t>
      </w:r>
      <w:r w:rsidR="002A3F26" w:rsidRPr="002A3F26">
        <w:rPr>
          <w:rFonts w:hint="eastAsia"/>
        </w:rPr>
        <w:t>转录间隔子</w:t>
      </w:r>
      <w:r w:rsidR="002A3F26" w:rsidRPr="002A3F26">
        <w:rPr>
          <w:rFonts w:hint="eastAsia"/>
        </w:rPr>
        <w:t>(ITS)</w:t>
      </w:r>
      <w:r w:rsidR="0034088C">
        <w:rPr>
          <w:rFonts w:hint="eastAsia"/>
        </w:rPr>
        <w:t>基因</w:t>
      </w:r>
      <w:r w:rsidR="002A3F26" w:rsidRPr="002A3F26">
        <w:rPr>
          <w:rFonts w:hint="eastAsia"/>
        </w:rPr>
        <w:t>位点</w:t>
      </w:r>
      <w:r w:rsidR="002B25B2">
        <w:rPr>
          <w:rFonts w:hint="eastAsia"/>
        </w:rPr>
        <w:t>，但</w:t>
      </w:r>
      <w:r w:rsidR="0034088C" w:rsidRPr="0034088C">
        <w:rPr>
          <w:rFonts w:hint="eastAsia"/>
        </w:rPr>
        <w:t>这些</w:t>
      </w:r>
      <w:r w:rsidR="0034088C">
        <w:rPr>
          <w:rFonts w:hint="eastAsia"/>
        </w:rPr>
        <w:t>基因</w:t>
      </w:r>
      <w:r w:rsidR="002B25B2">
        <w:rPr>
          <w:rFonts w:hint="eastAsia"/>
        </w:rPr>
        <w:t>的部分测序往往在</w:t>
      </w:r>
      <w:r w:rsidR="0034088C" w:rsidRPr="0034088C">
        <w:rPr>
          <w:rFonts w:hint="eastAsia"/>
        </w:rPr>
        <w:t>种</w:t>
      </w:r>
      <w:r w:rsidR="0034088C">
        <w:rPr>
          <w:rFonts w:hint="eastAsia"/>
        </w:rPr>
        <w:t>水平</w:t>
      </w:r>
      <w:r w:rsidR="0034088C" w:rsidRPr="0034088C">
        <w:rPr>
          <w:rFonts w:hint="eastAsia"/>
        </w:rPr>
        <w:t>的</w:t>
      </w:r>
      <w:r w:rsidR="00C441B3">
        <w:rPr>
          <w:rFonts w:hint="eastAsia"/>
        </w:rPr>
        <w:t>区分</w:t>
      </w:r>
      <w:r w:rsidR="002B25B2">
        <w:rPr>
          <w:rFonts w:hint="eastAsia"/>
        </w:rPr>
        <w:t>度不高</w:t>
      </w:r>
      <w:r w:rsidR="0034088C" w:rsidRPr="0034088C">
        <w:rPr>
          <w:rFonts w:hint="eastAsia"/>
        </w:rPr>
        <w:t>。</w:t>
      </w:r>
      <w:r w:rsidR="002B25B2" w:rsidRPr="002B25B2">
        <w:rPr>
          <w:rFonts w:hint="eastAsia"/>
        </w:rPr>
        <w:t>例如，大约</w:t>
      </w:r>
      <w:r w:rsidR="002B25B2" w:rsidRPr="002B25B2">
        <w:rPr>
          <w:rFonts w:hint="eastAsia"/>
        </w:rPr>
        <w:t>20</w:t>
      </w:r>
      <w:r w:rsidR="002B25B2" w:rsidRPr="002B25B2">
        <w:rPr>
          <w:rFonts w:hint="eastAsia"/>
        </w:rPr>
        <w:t>年前，</w:t>
      </w:r>
      <w:r w:rsidR="002B25B2" w:rsidRPr="002B25B2">
        <w:rPr>
          <w:rFonts w:hint="eastAsia"/>
        </w:rPr>
        <w:t>Blackwood et al.[5]</w:t>
      </w:r>
      <w:r w:rsidR="002B25B2" w:rsidRPr="002B25B2">
        <w:rPr>
          <w:rFonts w:hint="eastAsia"/>
        </w:rPr>
        <w:t>对芽孢杆菌</w:t>
      </w:r>
      <w:r w:rsidR="002B25B2">
        <w:rPr>
          <w:rFonts w:hint="eastAsia"/>
        </w:rPr>
        <w:t>（</w:t>
      </w:r>
      <w:r w:rsidR="002B25B2">
        <w:rPr>
          <w:rFonts w:ascii="Times New Roman" w:eastAsia="Times New Roman" w:hAnsi="Times New Roman" w:cs="Times New Roman"/>
          <w:i/>
        </w:rPr>
        <w:t>Bacillus</w:t>
      </w:r>
      <w:r w:rsidR="002B25B2">
        <w:rPr>
          <w:rFonts w:ascii="Times New Roman" w:eastAsia="Times New Roman" w:hAnsi="Times New Roman" w:cs="Times New Roman"/>
        </w:rPr>
        <w:t> spp.</w:t>
      </w:r>
      <w:r w:rsidR="002B25B2">
        <w:rPr>
          <w:rFonts w:hint="eastAsia"/>
        </w:rPr>
        <w:t>）</w:t>
      </w:r>
      <w:r w:rsidR="002B25B2" w:rsidRPr="002B25B2">
        <w:rPr>
          <w:rFonts w:hint="eastAsia"/>
        </w:rPr>
        <w:t>16S rRNA</w:t>
      </w:r>
      <w:r w:rsidR="002B25B2" w:rsidRPr="002B25B2">
        <w:rPr>
          <w:rFonts w:hint="eastAsia"/>
        </w:rPr>
        <w:t>基因的高可变</w:t>
      </w:r>
      <w:r w:rsidR="002B25B2" w:rsidRPr="002B25B2">
        <w:rPr>
          <w:rFonts w:hint="eastAsia"/>
        </w:rPr>
        <w:t>V1</w:t>
      </w:r>
      <w:r w:rsidR="002B25B2">
        <w:rPr>
          <w:rFonts w:hint="eastAsia"/>
        </w:rPr>
        <w:t>-</w:t>
      </w:r>
      <w:r w:rsidR="002B25B2" w:rsidRPr="002B25B2">
        <w:rPr>
          <w:rFonts w:hint="eastAsia"/>
        </w:rPr>
        <w:t>V3</w:t>
      </w:r>
      <w:r w:rsidR="002B25B2" w:rsidRPr="002B25B2">
        <w:rPr>
          <w:rFonts w:hint="eastAsia"/>
        </w:rPr>
        <w:t>区域进行了测序</w:t>
      </w:r>
      <w:r w:rsidR="002B25B2">
        <w:rPr>
          <w:rFonts w:hint="eastAsia"/>
        </w:rPr>
        <w:t>，发现</w:t>
      </w:r>
      <w:r w:rsidR="002B25B2" w:rsidRPr="002B25B2">
        <w:rPr>
          <w:rFonts w:hint="eastAsia"/>
        </w:rPr>
        <w:t>无法区分</w:t>
      </w:r>
      <w:r w:rsidR="002B25B2">
        <w:rPr>
          <w:rFonts w:hint="eastAsia"/>
        </w:rPr>
        <w:t>两</w:t>
      </w:r>
      <w:r w:rsidR="002B25B2">
        <w:t>种</w:t>
      </w:r>
      <w:r w:rsidR="002B25B2" w:rsidRPr="002B25B2">
        <w:rPr>
          <w:rFonts w:hint="eastAsia"/>
        </w:rPr>
        <w:t>临床相关的蜡样芽孢杆菌</w:t>
      </w:r>
      <w:r w:rsidR="002B25B2">
        <w:rPr>
          <w:rFonts w:hint="eastAsia"/>
        </w:rPr>
        <w:t>（</w:t>
      </w:r>
      <w:r w:rsidR="002B25B2">
        <w:rPr>
          <w:rFonts w:ascii="Times New Roman" w:eastAsia="Times New Roman" w:hAnsi="Times New Roman" w:cs="Times New Roman"/>
          <w:i/>
        </w:rPr>
        <w:t>Bacillus</w:t>
      </w:r>
      <w:r w:rsidR="002B25B2">
        <w:rPr>
          <w:rFonts w:ascii="Times New Roman" w:eastAsia="Times New Roman" w:hAnsi="Times New Roman" w:cs="Times New Roman"/>
        </w:rPr>
        <w:t> </w:t>
      </w:r>
      <w:r w:rsidR="002B25B2">
        <w:rPr>
          <w:rFonts w:ascii="Times New Roman" w:eastAsia="Times New Roman" w:hAnsi="Times New Roman" w:cs="Times New Roman"/>
          <w:i/>
        </w:rPr>
        <w:t>cereus</w:t>
      </w:r>
      <w:r w:rsidR="002B25B2">
        <w:rPr>
          <w:rFonts w:hint="eastAsia"/>
        </w:rPr>
        <w:t>）</w:t>
      </w:r>
      <w:r w:rsidR="002B25B2" w:rsidRPr="002B25B2">
        <w:rPr>
          <w:rFonts w:hint="eastAsia"/>
        </w:rPr>
        <w:t>类群</w:t>
      </w:r>
      <w:r w:rsidR="002B25B2">
        <w:rPr>
          <w:rFonts w:hint="eastAsia"/>
        </w:rPr>
        <w:t>——</w:t>
      </w:r>
      <w:r w:rsidR="002B25B2" w:rsidRPr="002B25B2">
        <w:rPr>
          <w:rFonts w:hint="eastAsia"/>
        </w:rPr>
        <w:t>炭疽芽孢杆菌</w:t>
      </w:r>
      <w:r w:rsidR="002B25B2">
        <w:rPr>
          <w:rFonts w:hint="eastAsia"/>
        </w:rPr>
        <w:t>（</w:t>
      </w:r>
      <w:r w:rsidR="002B25B2">
        <w:rPr>
          <w:rFonts w:ascii="Times New Roman" w:eastAsia="Times New Roman" w:hAnsi="Times New Roman" w:cs="Times New Roman"/>
          <w:i/>
        </w:rPr>
        <w:t>B</w:t>
      </w:r>
      <w:r w:rsidR="002B25B2">
        <w:rPr>
          <w:rFonts w:ascii="Times New Roman" w:eastAsia="Times New Roman" w:hAnsi="Times New Roman" w:cs="Times New Roman"/>
        </w:rPr>
        <w:t xml:space="preserve">. </w:t>
      </w:r>
      <w:r w:rsidR="002B25B2">
        <w:rPr>
          <w:rFonts w:ascii="Times New Roman" w:eastAsia="Times New Roman" w:hAnsi="Times New Roman" w:cs="Times New Roman"/>
          <w:i/>
        </w:rPr>
        <w:t>anthracis</w:t>
      </w:r>
      <w:r w:rsidR="002B25B2">
        <w:rPr>
          <w:rFonts w:hint="eastAsia"/>
        </w:rPr>
        <w:t>）</w:t>
      </w:r>
      <w:r w:rsidR="002B25B2" w:rsidRPr="002B25B2">
        <w:rPr>
          <w:rFonts w:hint="eastAsia"/>
        </w:rPr>
        <w:t>和蜡样芽孢杆菌</w:t>
      </w:r>
      <w:r w:rsidR="002B25B2">
        <w:rPr>
          <w:rFonts w:hint="eastAsia"/>
        </w:rPr>
        <w:t>（</w:t>
      </w:r>
      <w:r w:rsidR="002B25B2">
        <w:rPr>
          <w:rFonts w:ascii="Times New Roman" w:eastAsia="Times New Roman" w:hAnsi="Times New Roman" w:cs="Times New Roman"/>
          <w:i/>
        </w:rPr>
        <w:t>B</w:t>
      </w:r>
      <w:r w:rsidR="002B25B2">
        <w:rPr>
          <w:rFonts w:ascii="Times New Roman" w:eastAsia="Times New Roman" w:hAnsi="Times New Roman" w:cs="Times New Roman"/>
        </w:rPr>
        <w:t xml:space="preserve">. </w:t>
      </w:r>
      <w:r w:rsidR="002B25B2">
        <w:rPr>
          <w:rFonts w:ascii="Times New Roman" w:eastAsia="Times New Roman" w:hAnsi="Times New Roman" w:cs="Times New Roman"/>
          <w:i/>
        </w:rPr>
        <w:t>cereus</w:t>
      </w:r>
      <w:r w:rsidR="002B25B2">
        <w:rPr>
          <w:rFonts w:hint="eastAsia"/>
        </w:rPr>
        <w:t>）</w:t>
      </w:r>
      <w:r w:rsidR="002B25B2" w:rsidRPr="002B25B2">
        <w:rPr>
          <w:rFonts w:hint="eastAsia"/>
        </w:rPr>
        <w:t>。</w:t>
      </w:r>
      <w:r w:rsidR="00701CFC" w:rsidRPr="00701CFC">
        <w:rPr>
          <w:rFonts w:hint="eastAsia"/>
        </w:rPr>
        <w:t>事实上，对蜡样芽孢杆菌组</w:t>
      </w:r>
      <w:r w:rsidR="00701CFC" w:rsidRPr="00701CFC">
        <w:rPr>
          <w:rFonts w:hint="eastAsia"/>
        </w:rPr>
        <w:t>16S rRNA</w:t>
      </w:r>
      <w:r w:rsidR="00701CFC" w:rsidRPr="00701CFC">
        <w:rPr>
          <w:rFonts w:hint="eastAsia"/>
        </w:rPr>
        <w:t>全基因的测序显示，只有部分炭疽芽孢杆菌和蜡样芽孢杆菌具有可分辨的</w:t>
      </w:r>
      <w:r w:rsidR="00701CFC" w:rsidRPr="00701CFC">
        <w:rPr>
          <w:rFonts w:hint="eastAsia"/>
        </w:rPr>
        <w:t>16S rRNA</w:t>
      </w:r>
      <w:r w:rsidR="00701CFC" w:rsidRPr="00701CFC">
        <w:rPr>
          <w:rFonts w:hint="eastAsia"/>
        </w:rPr>
        <w:t>序列</w:t>
      </w:r>
      <w:r w:rsidR="00517AA9">
        <w:rPr>
          <w:rFonts w:ascii="Times New Roman" w:eastAsia="Times New Roman" w:hAnsi="Times New Roman" w:cs="Times New Roman"/>
        </w:rPr>
        <w:t>[6, 7]</w:t>
      </w:r>
      <w:r w:rsidR="00517AA9">
        <w:rPr>
          <w:rFonts w:hint="eastAsia"/>
        </w:rPr>
        <w:t>，</w:t>
      </w:r>
      <w:r w:rsidR="00517AA9" w:rsidRPr="00517AA9">
        <w:rPr>
          <w:rFonts w:hint="eastAsia"/>
        </w:rPr>
        <w:t>指出该标记基因对某些类群的分类学分辨率有限</w:t>
      </w:r>
      <w:r w:rsidR="00517AA9">
        <w:rPr>
          <w:rFonts w:hint="eastAsia"/>
        </w:rPr>
        <w:t>。</w:t>
      </w:r>
      <w:r w:rsidR="00517AA9" w:rsidRPr="00517AA9">
        <w:rPr>
          <w:rFonts w:ascii="宋体" w:eastAsia="宋体" w:hAnsi="宋体" w:cs="宋体" w:hint="eastAsia"/>
        </w:rPr>
        <w:t>最近，人们指出了菌株水平鉴定人类微生物组</w:t>
      </w:r>
      <w:r w:rsidR="00517AA9">
        <w:rPr>
          <w:rFonts w:ascii="宋体" w:eastAsia="宋体" w:hAnsi="宋体" w:cs="宋体" w:hint="eastAsia"/>
        </w:rPr>
        <w:t>组成</w:t>
      </w:r>
      <w:r w:rsidR="00517AA9" w:rsidRPr="00517AA9">
        <w:rPr>
          <w:rFonts w:ascii="宋体" w:eastAsia="宋体" w:hAnsi="宋体" w:cs="宋体" w:hint="eastAsia"/>
        </w:rPr>
        <w:t>的重要性</w:t>
      </w:r>
      <w:r w:rsidR="00517AA9">
        <w:rPr>
          <w:rFonts w:ascii="Times New Roman" w:eastAsia="Times New Roman" w:hAnsi="Times New Roman" w:cs="Times New Roman"/>
        </w:rPr>
        <w:t>[8, 9]</w:t>
      </w:r>
      <w:r w:rsidR="009C09C1">
        <w:rPr>
          <w:rFonts w:ascii="Times New Roman" w:hAnsi="Times New Roman" w:cs="Times New Roman" w:hint="eastAsia"/>
        </w:rPr>
        <w:t>，</w:t>
      </w:r>
      <w:r w:rsidR="009C09C1" w:rsidRPr="00741F70">
        <w:t>然而短读</w:t>
      </w:r>
      <w:r w:rsidR="009C09C1" w:rsidRPr="00741F70">
        <w:rPr>
          <w:rFonts w:hint="eastAsia"/>
        </w:rPr>
        <w:t>长</w:t>
      </w:r>
      <w:r w:rsidR="009C09C1" w:rsidRPr="00741F70">
        <w:t>扩增子测序大多无法区分</w:t>
      </w:r>
      <w:r w:rsidR="009C09C1" w:rsidRPr="00741F70">
        <w:rPr>
          <w:rFonts w:hint="eastAsia"/>
        </w:rPr>
        <w:t>相关度高</w:t>
      </w:r>
      <w:r w:rsidR="009C09C1" w:rsidRPr="00741F70">
        <w:t>的菌株</w:t>
      </w:r>
      <w:r w:rsidR="00741F70">
        <w:rPr>
          <w:rFonts w:ascii="Times New Roman" w:eastAsia="Times New Roman" w:hAnsi="Times New Roman" w:cs="Times New Roman"/>
        </w:rPr>
        <w:t>[9]</w:t>
      </w:r>
      <w:r w:rsidR="00741F70">
        <w:rPr>
          <w:rFonts w:ascii="Times New Roman" w:hAnsi="Times New Roman" w:cs="Times New Roman" w:hint="eastAsia"/>
        </w:rPr>
        <w:t>。</w:t>
      </w:r>
    </w:p>
    <w:p w14:paraId="13B2762D" w14:textId="77777777" w:rsidR="006F2CA4" w:rsidRDefault="00AB6D1B" w:rsidP="00AB6D1B">
      <w:pPr>
        <w:ind w:firstLineChars="200" w:firstLine="420"/>
        <w:rPr>
          <w:rFonts w:ascii="Times New Roman" w:hAnsi="Times New Roman" w:cs="Times New Roman"/>
        </w:rPr>
      </w:pPr>
      <w:r>
        <w:rPr>
          <w:rFonts w:ascii="宋体" w:eastAsia="宋体" w:hAnsi="宋体" w:cs="宋体" w:hint="eastAsia"/>
        </w:rPr>
        <w:t>已有</w:t>
      </w:r>
      <w:r w:rsidRPr="00AB6D1B">
        <w:rPr>
          <w:rFonts w:ascii="宋体" w:eastAsia="宋体" w:hAnsi="宋体" w:cs="宋体" w:hint="eastAsia"/>
        </w:rPr>
        <w:t>研究证明了一个不言自明的事实，采用</w:t>
      </w:r>
      <w:r w:rsidRPr="00AB6D1B">
        <w:rPr>
          <w:rFonts w:ascii="Times New Roman" w:eastAsia="Times New Roman" w:hAnsi="Times New Roman" w:cs="Times New Roman" w:hint="eastAsia"/>
        </w:rPr>
        <w:t>PacBio</w:t>
      </w:r>
      <w:r w:rsidRPr="00AB6D1B">
        <w:rPr>
          <w:rFonts w:ascii="宋体" w:eastAsia="宋体" w:hAnsi="宋体" w:cs="宋体" w:hint="eastAsia"/>
        </w:rPr>
        <w:t>等长读</w:t>
      </w:r>
      <w:r>
        <w:rPr>
          <w:rFonts w:ascii="宋体" w:eastAsia="宋体" w:hAnsi="宋体" w:cs="宋体" w:hint="eastAsia"/>
        </w:rPr>
        <w:t>长</w:t>
      </w:r>
      <w:r w:rsidRPr="00AB6D1B">
        <w:rPr>
          <w:rFonts w:ascii="宋体" w:eastAsia="宋体" w:hAnsi="宋体" w:cs="宋体" w:hint="eastAsia"/>
        </w:rPr>
        <w:t>测序技术可以实现</w:t>
      </w:r>
      <w:r w:rsidRPr="00AB6D1B">
        <w:rPr>
          <w:rFonts w:ascii="Times New Roman" w:eastAsia="Times New Roman" w:hAnsi="Times New Roman" w:cs="Times New Roman" w:hint="eastAsia"/>
        </w:rPr>
        <w:t>16S</w:t>
      </w:r>
      <w:r w:rsidRPr="00AB6D1B">
        <w:rPr>
          <w:rFonts w:ascii="宋体" w:eastAsia="宋体" w:hAnsi="宋体" w:cs="宋体" w:hint="eastAsia"/>
        </w:rPr>
        <w:t>全长</w:t>
      </w:r>
      <w:r>
        <w:rPr>
          <w:rFonts w:ascii="宋体" w:eastAsia="宋体" w:hAnsi="宋体" w:cs="宋体" w:hint="eastAsia"/>
        </w:rPr>
        <w:t>测序</w:t>
      </w:r>
      <w:r w:rsidRPr="00AB6D1B">
        <w:rPr>
          <w:rFonts w:ascii="宋体" w:eastAsia="宋体" w:hAnsi="宋体" w:cs="宋体" w:hint="eastAsia"/>
        </w:rPr>
        <w:t>，提高了分类学分辨率</w:t>
      </w:r>
      <w:r>
        <w:rPr>
          <w:rFonts w:ascii="Times New Roman" w:eastAsia="Times New Roman" w:hAnsi="Times New Roman" w:cs="Times New Roman"/>
        </w:rPr>
        <w:t>(e.g., [10])</w:t>
      </w:r>
      <w:r>
        <w:rPr>
          <w:rFonts w:ascii="Times New Roman" w:hAnsi="Times New Roman" w:cs="Times New Roman" w:hint="eastAsia"/>
        </w:rPr>
        <w:t>。</w:t>
      </w:r>
      <w:proofErr w:type="gramStart"/>
      <w:r w:rsidR="005C6CBB" w:rsidRPr="005C6CBB">
        <w:rPr>
          <w:rFonts w:ascii="Times New Roman" w:hAnsi="Times New Roman" w:cs="Times New Roman" w:hint="eastAsia"/>
        </w:rPr>
        <w:t>作为长读</w:t>
      </w:r>
      <w:r w:rsidR="005C6CBB">
        <w:rPr>
          <w:rFonts w:ascii="Times New Roman" w:hAnsi="Times New Roman" w:cs="Times New Roman" w:hint="eastAsia"/>
        </w:rPr>
        <w:t>长</w:t>
      </w:r>
      <w:proofErr w:type="gramEnd"/>
      <w:r w:rsidR="005C6CBB" w:rsidRPr="005C6CBB">
        <w:rPr>
          <w:rFonts w:ascii="Times New Roman" w:hAnsi="Times New Roman" w:cs="Times New Roman" w:hint="eastAsia"/>
        </w:rPr>
        <w:t>测序的替代方案，</w:t>
      </w:r>
      <w:r w:rsidR="005C6CBB" w:rsidRPr="005C6CBB">
        <w:rPr>
          <w:rFonts w:ascii="Times New Roman" w:hAnsi="Times New Roman" w:cs="Times New Roman" w:hint="eastAsia"/>
        </w:rPr>
        <w:t>Loop Genomics</w:t>
      </w:r>
      <w:r w:rsidR="005C6CBB" w:rsidRPr="005C6CBB">
        <w:rPr>
          <w:rFonts w:ascii="Times New Roman" w:hAnsi="Times New Roman" w:cs="Times New Roman" w:hint="eastAsia"/>
        </w:rPr>
        <w:t>提出</w:t>
      </w:r>
      <w:r w:rsidR="004753E4">
        <w:rPr>
          <w:rFonts w:ascii="Times New Roman" w:hAnsi="Times New Roman" w:cs="Times New Roman" w:hint="eastAsia"/>
        </w:rPr>
        <w:t>通过</w:t>
      </w:r>
      <w:r w:rsidR="005C6CBB" w:rsidRPr="005C6CBB">
        <w:rPr>
          <w:rFonts w:ascii="Times New Roman" w:hAnsi="Times New Roman" w:cs="Times New Roman" w:hint="eastAsia"/>
        </w:rPr>
        <w:t>采用</w:t>
      </w:r>
      <w:r w:rsidR="005C6CBB" w:rsidRPr="005C6CBB">
        <w:rPr>
          <w:rFonts w:ascii="Times New Roman" w:hAnsi="Times New Roman" w:cs="Times New Roman" w:hint="eastAsia"/>
        </w:rPr>
        <w:t>Illumina</w:t>
      </w:r>
      <w:r w:rsidR="005C6CBB" w:rsidRPr="005C6CBB">
        <w:rPr>
          <w:rFonts w:ascii="Times New Roman" w:hAnsi="Times New Roman" w:cs="Times New Roman" w:hint="eastAsia"/>
        </w:rPr>
        <w:t>短读</w:t>
      </w:r>
      <w:r w:rsidR="005C6CBB">
        <w:rPr>
          <w:rFonts w:ascii="Times New Roman" w:hAnsi="Times New Roman" w:cs="Times New Roman" w:hint="eastAsia"/>
        </w:rPr>
        <w:t>长</w:t>
      </w:r>
      <w:r w:rsidR="005C6CBB" w:rsidRPr="005C6CBB">
        <w:rPr>
          <w:rFonts w:ascii="Times New Roman" w:hAnsi="Times New Roman" w:cs="Times New Roman" w:hint="eastAsia"/>
        </w:rPr>
        <w:t>测序技术，</w:t>
      </w:r>
      <w:r w:rsidR="004753E4">
        <w:rPr>
          <w:rFonts w:ascii="Times New Roman" w:hAnsi="Times New Roman" w:cs="Times New Roman" w:hint="eastAsia"/>
        </w:rPr>
        <w:t>结合</w:t>
      </w:r>
      <w:r w:rsidR="005C6CBB" w:rsidRPr="005C6CBB">
        <w:rPr>
          <w:rFonts w:ascii="Times New Roman" w:hAnsi="Times New Roman" w:cs="Times New Roman" w:hint="eastAsia"/>
        </w:rPr>
        <w:t>在每个</w:t>
      </w:r>
      <w:r w:rsidR="005C6CBB" w:rsidRPr="005C6CBB">
        <w:rPr>
          <w:rFonts w:ascii="Times New Roman" w:hAnsi="Times New Roman" w:cs="Times New Roman" w:hint="eastAsia"/>
        </w:rPr>
        <w:t>16S</w:t>
      </w:r>
      <w:r w:rsidR="004753E4">
        <w:rPr>
          <w:rFonts w:ascii="Times New Roman" w:hAnsi="Times New Roman" w:cs="Times New Roman" w:hint="eastAsia"/>
        </w:rPr>
        <w:t>扩增子</w:t>
      </w:r>
      <w:r w:rsidR="005C6CBB" w:rsidRPr="005C6CBB">
        <w:rPr>
          <w:rFonts w:ascii="Times New Roman" w:hAnsi="Times New Roman" w:cs="Times New Roman" w:hint="eastAsia"/>
        </w:rPr>
        <w:t>独特的</w:t>
      </w:r>
      <w:r w:rsidR="004753E4">
        <w:rPr>
          <w:rFonts w:ascii="Times New Roman" w:hAnsi="Times New Roman" w:cs="Times New Roman" w:hint="eastAsia"/>
        </w:rPr>
        <w:t>标签序列</w:t>
      </w:r>
      <w:r w:rsidR="005C6CBB" w:rsidRPr="005C6CBB">
        <w:rPr>
          <w:rFonts w:ascii="Times New Roman" w:hAnsi="Times New Roman" w:cs="Times New Roman" w:hint="eastAsia"/>
        </w:rPr>
        <w:t>来</w:t>
      </w:r>
      <w:proofErr w:type="gramStart"/>
      <w:r w:rsidR="005C6CBB" w:rsidRPr="005C6CBB">
        <w:rPr>
          <w:rFonts w:ascii="Times New Roman" w:hAnsi="Times New Roman" w:cs="Times New Roman" w:hint="eastAsia"/>
        </w:rPr>
        <w:t>合成长读</w:t>
      </w:r>
      <w:proofErr w:type="gramEnd"/>
      <w:r w:rsidR="004753E4">
        <w:rPr>
          <w:rFonts w:ascii="Times New Roman" w:hAnsi="Times New Roman" w:cs="Times New Roman" w:hint="eastAsia"/>
        </w:rPr>
        <w:t>长</w:t>
      </w:r>
      <w:r w:rsidR="004753E4">
        <w:rPr>
          <w:rFonts w:ascii="Times New Roman" w:hAnsi="Times New Roman" w:cs="Times New Roman"/>
        </w:rPr>
        <w:t>序列</w:t>
      </w:r>
      <w:r w:rsidR="005C6CBB" w:rsidRPr="005C6CBB">
        <w:rPr>
          <w:rFonts w:ascii="Times New Roman" w:hAnsi="Times New Roman" w:cs="Times New Roman" w:hint="eastAsia"/>
        </w:rPr>
        <w:t>，也</w:t>
      </w:r>
      <w:r w:rsidR="004753E4">
        <w:rPr>
          <w:rFonts w:ascii="Times New Roman" w:hAnsi="Times New Roman" w:cs="Times New Roman" w:hint="eastAsia"/>
        </w:rPr>
        <w:t>可以在种水平上提高</w:t>
      </w:r>
      <w:r w:rsidR="005C6CBB" w:rsidRPr="005C6CBB">
        <w:rPr>
          <w:rFonts w:ascii="Times New Roman" w:hAnsi="Times New Roman" w:cs="Times New Roman" w:hint="eastAsia"/>
        </w:rPr>
        <w:t>分辨率</w:t>
      </w:r>
      <w:r w:rsidR="005C6CBB">
        <w:rPr>
          <w:rFonts w:ascii="Times New Roman" w:eastAsia="Times New Roman" w:hAnsi="Times New Roman" w:cs="Times New Roman"/>
        </w:rPr>
        <w:t>[11]</w:t>
      </w:r>
      <w:r w:rsidR="004753E4">
        <w:rPr>
          <w:rFonts w:ascii="Times New Roman" w:hAnsi="Times New Roman" w:cs="Times New Roman" w:hint="eastAsia"/>
        </w:rPr>
        <w:t>。</w:t>
      </w:r>
      <w:r w:rsidR="0011130D" w:rsidRPr="0011130D">
        <w:rPr>
          <w:rFonts w:ascii="Times New Roman" w:hAnsi="Times New Roman" w:cs="Times New Roman" w:hint="eastAsia"/>
        </w:rPr>
        <w:t>此外，通过使用诸如</w:t>
      </w:r>
      <w:r w:rsidR="0011130D" w:rsidRPr="0011130D">
        <w:rPr>
          <w:rFonts w:ascii="Times New Roman" w:hAnsi="Times New Roman" w:cs="Times New Roman" w:hint="eastAsia"/>
        </w:rPr>
        <w:t>SMURF</w:t>
      </w:r>
      <w:r w:rsidR="00351199">
        <w:rPr>
          <w:rFonts w:ascii="Times New Roman" w:eastAsia="Times New Roman" w:hAnsi="Times New Roman" w:cs="Times New Roman"/>
        </w:rPr>
        <w:t>[12]</w:t>
      </w:r>
      <w:r w:rsidR="0011130D" w:rsidRPr="0011130D">
        <w:rPr>
          <w:rFonts w:ascii="Times New Roman" w:hAnsi="Times New Roman" w:cs="Times New Roman" w:hint="eastAsia"/>
        </w:rPr>
        <w:t>这样的计算工具</w:t>
      </w:r>
      <w:r w:rsidR="00351199">
        <w:rPr>
          <w:rFonts w:ascii="Times New Roman" w:hAnsi="Times New Roman" w:cs="Times New Roman" w:hint="eastAsia"/>
        </w:rPr>
        <w:t>整合</w:t>
      </w:r>
      <w:r w:rsidR="0011130D" w:rsidRPr="0011130D">
        <w:rPr>
          <w:rFonts w:ascii="Times New Roman" w:hAnsi="Times New Roman" w:cs="Times New Roman" w:hint="eastAsia"/>
        </w:rPr>
        <w:t>针对不同</w:t>
      </w:r>
      <w:r w:rsidR="0011130D" w:rsidRPr="0011130D">
        <w:rPr>
          <w:rFonts w:ascii="Times New Roman" w:hAnsi="Times New Roman" w:cs="Times New Roman" w:hint="eastAsia"/>
        </w:rPr>
        <w:t>16S</w:t>
      </w:r>
      <w:r w:rsidR="0011130D" w:rsidRPr="0011130D">
        <w:rPr>
          <w:rFonts w:ascii="Times New Roman" w:hAnsi="Times New Roman" w:cs="Times New Roman" w:hint="eastAsia"/>
        </w:rPr>
        <w:t>高变区域的扩增子测序</w:t>
      </w:r>
      <w:r w:rsidR="00351199">
        <w:rPr>
          <w:rFonts w:ascii="Times New Roman" w:hAnsi="Times New Roman" w:cs="Times New Roman" w:hint="eastAsia"/>
        </w:rPr>
        <w:t>结果</w:t>
      </w:r>
      <w:r w:rsidR="0011130D" w:rsidRPr="0011130D">
        <w:rPr>
          <w:rFonts w:ascii="Times New Roman" w:hAnsi="Times New Roman" w:cs="Times New Roman" w:hint="eastAsia"/>
        </w:rPr>
        <w:t>，可以推断出具有更</w:t>
      </w:r>
      <w:r w:rsidR="00351199">
        <w:rPr>
          <w:rFonts w:ascii="Times New Roman" w:hAnsi="Times New Roman" w:cs="Times New Roman" w:hint="eastAsia"/>
        </w:rPr>
        <w:t>高</w:t>
      </w:r>
      <w:r w:rsidR="0011130D" w:rsidRPr="0011130D">
        <w:rPr>
          <w:rFonts w:ascii="Times New Roman" w:hAnsi="Times New Roman" w:cs="Times New Roman" w:hint="eastAsia"/>
        </w:rPr>
        <w:t>分辨率的分类学图谱。</w:t>
      </w:r>
      <w:r w:rsidR="003D19B2" w:rsidRPr="003D19B2">
        <w:rPr>
          <w:rFonts w:ascii="Times New Roman" w:hAnsi="Times New Roman" w:cs="Times New Roman" w:hint="eastAsia"/>
        </w:rPr>
        <w:t>这种替代方法目前更容易使用，因为不需要替换测序平台或调整</w:t>
      </w:r>
      <w:r w:rsidR="003D19B2">
        <w:rPr>
          <w:rFonts w:ascii="Times New Roman" w:hAnsi="Times New Roman" w:cs="Times New Roman" w:hint="eastAsia"/>
        </w:rPr>
        <w:t>建库</w:t>
      </w:r>
      <w:r w:rsidR="003D19B2" w:rsidRPr="003D19B2">
        <w:rPr>
          <w:rFonts w:ascii="Times New Roman" w:hAnsi="Times New Roman" w:cs="Times New Roman" w:hint="eastAsia"/>
        </w:rPr>
        <w:t>准备工作流程。</w:t>
      </w:r>
      <w:r w:rsidR="00923A78" w:rsidRPr="00923A78">
        <w:rPr>
          <w:rFonts w:ascii="Times New Roman" w:hAnsi="Times New Roman" w:cs="Times New Roman" w:hint="eastAsia"/>
        </w:rPr>
        <w:t>然而，这</w:t>
      </w:r>
      <w:r w:rsidR="00923A78">
        <w:rPr>
          <w:rFonts w:ascii="Times New Roman" w:hAnsi="Times New Roman" w:cs="Times New Roman" w:hint="eastAsia"/>
        </w:rPr>
        <w:t>不是最优的选择</w:t>
      </w:r>
      <w:r w:rsidR="00923A78" w:rsidRPr="00923A78">
        <w:rPr>
          <w:rFonts w:ascii="Times New Roman" w:hAnsi="Times New Roman" w:cs="Times New Roman" w:hint="eastAsia"/>
        </w:rPr>
        <w:t>，因为与</w:t>
      </w:r>
      <w:r w:rsidR="00923A78" w:rsidRPr="00923A78">
        <w:rPr>
          <w:rFonts w:ascii="Times New Roman" w:hAnsi="Times New Roman" w:cs="Times New Roman" w:hint="eastAsia"/>
        </w:rPr>
        <w:t>Loop Genomics</w:t>
      </w:r>
      <w:r w:rsidR="00923A78" w:rsidRPr="00923A78">
        <w:rPr>
          <w:rFonts w:ascii="Times New Roman" w:hAnsi="Times New Roman" w:cs="Times New Roman" w:hint="eastAsia"/>
        </w:rPr>
        <w:t>技术相反，全长</w:t>
      </w:r>
      <w:r w:rsidR="00923A78" w:rsidRPr="00923A78">
        <w:rPr>
          <w:rFonts w:ascii="Times New Roman" w:hAnsi="Times New Roman" w:cs="Times New Roman" w:hint="eastAsia"/>
        </w:rPr>
        <w:t>16S</w:t>
      </w:r>
      <w:r w:rsidR="00923A78" w:rsidRPr="00923A78">
        <w:rPr>
          <w:rFonts w:ascii="Times New Roman" w:hAnsi="Times New Roman" w:cs="Times New Roman" w:hint="eastAsia"/>
        </w:rPr>
        <w:t>序列无法用这种策略重建。</w:t>
      </w:r>
    </w:p>
    <w:p w14:paraId="406C5C90" w14:textId="77777777" w:rsidR="00F274D3" w:rsidRDefault="00F274D3" w:rsidP="00AB6D1B">
      <w:pPr>
        <w:ind w:firstLineChars="200" w:firstLine="420"/>
      </w:pPr>
      <w:r w:rsidRPr="00F274D3">
        <w:rPr>
          <w:rFonts w:hint="eastAsia"/>
        </w:rPr>
        <w:t>尽管</w:t>
      </w:r>
      <w:r w:rsidR="00B00AC0" w:rsidRPr="00F274D3">
        <w:rPr>
          <w:rFonts w:hint="eastAsia"/>
        </w:rPr>
        <w:t>16S</w:t>
      </w:r>
      <w:r w:rsidR="00B00AC0" w:rsidRPr="00F274D3">
        <w:rPr>
          <w:rFonts w:hint="eastAsia"/>
        </w:rPr>
        <w:t>全长</w:t>
      </w:r>
      <w:r w:rsidR="00B00AC0">
        <w:rPr>
          <w:rFonts w:hint="eastAsia"/>
        </w:rPr>
        <w:t>测序</w:t>
      </w:r>
      <w:r w:rsidRPr="00F274D3">
        <w:rPr>
          <w:rFonts w:hint="eastAsia"/>
        </w:rPr>
        <w:t>广泛应用的成本仍然高昂，但我们预测，从长远来看，</w:t>
      </w:r>
      <w:proofErr w:type="gramStart"/>
      <w:r w:rsidRPr="00F274D3">
        <w:rPr>
          <w:rFonts w:hint="eastAsia"/>
        </w:rPr>
        <w:t>通过长读</w:t>
      </w:r>
      <w:r w:rsidR="00B00AC0">
        <w:rPr>
          <w:rFonts w:hint="eastAsia"/>
        </w:rPr>
        <w:t>长</w:t>
      </w:r>
      <w:proofErr w:type="gramEnd"/>
      <w:r w:rsidRPr="00F274D3">
        <w:rPr>
          <w:rFonts w:hint="eastAsia"/>
        </w:rPr>
        <w:t>扩增子测序或基于唯一识别的短读</w:t>
      </w:r>
      <w:r w:rsidR="00FF11C0">
        <w:rPr>
          <w:rFonts w:hint="eastAsia"/>
        </w:rPr>
        <w:t>长</w:t>
      </w:r>
      <w:r w:rsidRPr="00F274D3">
        <w:rPr>
          <w:rFonts w:hint="eastAsia"/>
        </w:rPr>
        <w:t>扩增子</w:t>
      </w:r>
      <w:r w:rsidR="00B00AC0">
        <w:rPr>
          <w:rFonts w:hint="eastAsia"/>
        </w:rPr>
        <w:t>测序</w:t>
      </w:r>
      <w:r w:rsidR="00B00AC0">
        <w:t>的</w:t>
      </w:r>
      <w:r w:rsidRPr="00F274D3">
        <w:rPr>
          <w:rFonts w:hint="eastAsia"/>
        </w:rPr>
        <w:t>生物信息学重建</w:t>
      </w:r>
      <w:r w:rsidR="00B00AC0">
        <w:rPr>
          <w:rFonts w:hint="eastAsia"/>
        </w:rPr>
        <w:t>实现</w:t>
      </w:r>
      <w:r w:rsidRPr="00F274D3">
        <w:rPr>
          <w:rFonts w:hint="eastAsia"/>
        </w:rPr>
        <w:t>的</w:t>
      </w:r>
      <w:r w:rsidRPr="00F274D3">
        <w:rPr>
          <w:rFonts w:hint="eastAsia"/>
        </w:rPr>
        <w:t>16S</w:t>
      </w:r>
      <w:r w:rsidRPr="00F274D3">
        <w:rPr>
          <w:rFonts w:hint="eastAsia"/>
        </w:rPr>
        <w:t>全长</w:t>
      </w:r>
      <w:r w:rsidR="00B00AC0">
        <w:rPr>
          <w:rFonts w:hint="eastAsia"/>
        </w:rPr>
        <w:t>测序</w:t>
      </w:r>
      <w:r w:rsidRPr="00F274D3">
        <w:rPr>
          <w:rFonts w:hint="eastAsia"/>
        </w:rPr>
        <w:t>将逐渐取代短读</w:t>
      </w:r>
      <w:r w:rsidR="00B00AC0">
        <w:rPr>
          <w:rFonts w:hint="eastAsia"/>
        </w:rPr>
        <w:t>长测序，</w:t>
      </w:r>
      <w:r w:rsidRPr="00F274D3">
        <w:rPr>
          <w:rFonts w:hint="eastAsia"/>
        </w:rPr>
        <w:t>提高</w:t>
      </w:r>
      <w:r w:rsidR="00B00AC0">
        <w:rPr>
          <w:rFonts w:hint="eastAsia"/>
        </w:rPr>
        <w:t>了</w:t>
      </w:r>
      <w:r w:rsidRPr="00F274D3">
        <w:rPr>
          <w:rFonts w:hint="eastAsia"/>
        </w:rPr>
        <w:t>分类学分辨率，</w:t>
      </w:r>
      <w:r w:rsidR="00B00AC0">
        <w:rPr>
          <w:rFonts w:hint="eastAsia"/>
        </w:rPr>
        <w:t>进</w:t>
      </w:r>
      <w:r w:rsidRPr="00F274D3">
        <w:rPr>
          <w:rFonts w:hint="eastAsia"/>
        </w:rPr>
        <w:t>而更准确地预测</w:t>
      </w:r>
      <w:r w:rsidR="00B00AC0">
        <w:rPr>
          <w:rFonts w:hint="eastAsia"/>
        </w:rPr>
        <w:t>微生物</w:t>
      </w:r>
      <w:r w:rsidR="00B00AC0">
        <w:t>的</w:t>
      </w:r>
      <w:r w:rsidR="00B00AC0">
        <w:rPr>
          <w:rFonts w:hint="eastAsia"/>
        </w:rPr>
        <w:t>潜在功能</w:t>
      </w:r>
      <w:r w:rsidRPr="00F274D3">
        <w:rPr>
          <w:rFonts w:hint="eastAsia"/>
        </w:rPr>
        <w:t>。</w:t>
      </w:r>
    </w:p>
    <w:p w14:paraId="1827CD57" w14:textId="77777777" w:rsidR="00612AE9" w:rsidRDefault="00612AE9" w:rsidP="00AB6D1B">
      <w:pPr>
        <w:ind w:firstLineChars="200" w:firstLine="420"/>
        <w:rPr>
          <w:rFonts w:ascii="Times New Roman" w:hAnsi="Times New Roman" w:cs="Times New Roman"/>
        </w:rPr>
      </w:pPr>
      <w:r w:rsidRPr="00612AE9">
        <w:rPr>
          <w:rFonts w:hint="eastAsia"/>
        </w:rPr>
        <w:t>除了分类学上的区别之外，同一种</w:t>
      </w:r>
      <w:r w:rsidR="005274C2">
        <w:rPr>
          <w:rFonts w:hint="eastAsia"/>
        </w:rPr>
        <w:t>水平</w:t>
      </w:r>
      <w:r w:rsidR="005274C2">
        <w:t>的</w:t>
      </w:r>
      <w:r w:rsidR="005274C2">
        <w:rPr>
          <w:rFonts w:hint="eastAsia"/>
        </w:rPr>
        <w:t>菌</w:t>
      </w:r>
      <w:r w:rsidR="004B25B5">
        <w:rPr>
          <w:rFonts w:hint="eastAsia"/>
        </w:rPr>
        <w:t>株之间的基因</w:t>
      </w:r>
      <w:r w:rsidRPr="00612AE9">
        <w:rPr>
          <w:rFonts w:hint="eastAsia"/>
        </w:rPr>
        <w:t>变异进一步阻碍了功能的准确预测</w:t>
      </w:r>
      <w:r w:rsidR="004B25B5">
        <w:rPr>
          <w:rFonts w:hint="eastAsia"/>
        </w:rPr>
        <w:t>。</w:t>
      </w:r>
      <w:r w:rsidR="00BD7381" w:rsidRPr="00BD7381">
        <w:rPr>
          <w:rFonts w:hint="eastAsia"/>
        </w:rPr>
        <w:t>2004</w:t>
      </w:r>
      <w:r w:rsidR="00BD7381" w:rsidRPr="00BD7381">
        <w:rPr>
          <w:rFonts w:hint="eastAsia"/>
        </w:rPr>
        <w:t>年，</w:t>
      </w:r>
      <w:r w:rsidR="00BD7381" w:rsidRPr="00BD7381">
        <w:rPr>
          <w:rFonts w:hint="eastAsia"/>
        </w:rPr>
        <w:t>Jaspers</w:t>
      </w:r>
      <w:r w:rsidR="00BD7381" w:rsidRPr="00BD7381">
        <w:rPr>
          <w:rFonts w:hint="eastAsia"/>
        </w:rPr>
        <w:t>和</w:t>
      </w:r>
      <w:r w:rsidR="00BD7381" w:rsidRPr="00BD7381">
        <w:rPr>
          <w:rFonts w:hint="eastAsia"/>
        </w:rPr>
        <w:t>Overmann</w:t>
      </w:r>
      <w:r w:rsidR="00BD7381" w:rsidRPr="00BD7381">
        <w:rPr>
          <w:rFonts w:hint="eastAsia"/>
        </w:rPr>
        <w:t>发现</w:t>
      </w:r>
      <w:r w:rsidR="00BD7381" w:rsidRPr="00BD7381">
        <w:rPr>
          <w:rFonts w:hint="eastAsia"/>
        </w:rPr>
        <w:t>11</w:t>
      </w:r>
      <w:r w:rsidR="00BD7381">
        <w:rPr>
          <w:rFonts w:hint="eastAsia"/>
        </w:rPr>
        <w:t>株</w:t>
      </w:r>
      <w:proofErr w:type="spellStart"/>
      <w:r w:rsidR="00BD7381" w:rsidRPr="00BD7381">
        <w:rPr>
          <w:rFonts w:hint="eastAsia"/>
          <w:i/>
        </w:rPr>
        <w:t>Brevundimonas</w:t>
      </w:r>
      <w:proofErr w:type="spellEnd"/>
      <w:r w:rsidR="00BD7381" w:rsidRPr="00BD7381">
        <w:rPr>
          <w:rFonts w:hint="eastAsia"/>
          <w:i/>
        </w:rPr>
        <w:t xml:space="preserve"> alba</w:t>
      </w:r>
      <w:r w:rsidR="00BD7381" w:rsidRPr="00BD7381">
        <w:rPr>
          <w:rFonts w:hint="eastAsia"/>
        </w:rPr>
        <w:t>具有完全相同的</w:t>
      </w:r>
      <w:r w:rsidR="00BD7381" w:rsidRPr="00BD7381">
        <w:rPr>
          <w:rFonts w:hint="eastAsia"/>
        </w:rPr>
        <w:t>16S rRNA</w:t>
      </w:r>
      <w:r w:rsidR="00BD7381" w:rsidRPr="00BD7381">
        <w:rPr>
          <w:rFonts w:hint="eastAsia"/>
        </w:rPr>
        <w:t>基因序列，但</w:t>
      </w:r>
      <w:r w:rsidR="00BD7381">
        <w:rPr>
          <w:rFonts w:hint="eastAsia"/>
        </w:rPr>
        <w:t>具有</w:t>
      </w:r>
      <w:r w:rsidR="00BD7381">
        <w:t>较高的</w:t>
      </w:r>
      <w:r w:rsidR="00BD7381">
        <w:rPr>
          <w:rFonts w:hint="eastAsia"/>
        </w:rPr>
        <w:t>基因组多样性</w:t>
      </w:r>
      <w:r w:rsidR="00BD7381">
        <w:rPr>
          <w:rFonts w:ascii="Times New Roman" w:hAnsi="Times New Roman" w:cs="Times New Roman" w:hint="eastAsia"/>
        </w:rPr>
        <w:t>和</w:t>
      </w:r>
      <w:r w:rsidR="00BD7381" w:rsidRPr="00BD7381">
        <w:rPr>
          <w:rFonts w:ascii="Times New Roman" w:hAnsi="Times New Roman" w:cs="Times New Roman" w:hint="eastAsia"/>
        </w:rPr>
        <w:t>生理</w:t>
      </w:r>
      <w:r w:rsidR="00BD7381">
        <w:rPr>
          <w:rFonts w:ascii="Times New Roman" w:hAnsi="Times New Roman" w:cs="Times New Roman" w:hint="eastAsia"/>
        </w:rPr>
        <w:t>学特征</w:t>
      </w:r>
      <w:r w:rsidR="00BD7381" w:rsidRPr="00BD7381">
        <w:rPr>
          <w:rFonts w:ascii="Times New Roman" w:hAnsi="Times New Roman" w:cs="Times New Roman" w:hint="eastAsia"/>
        </w:rPr>
        <w:t>差异</w:t>
      </w:r>
      <w:r w:rsidR="00BD7381">
        <w:rPr>
          <w:rFonts w:ascii="Times New Roman" w:hAnsi="Times New Roman" w:cs="Times New Roman" w:hint="eastAsia"/>
        </w:rPr>
        <w:t>性</w:t>
      </w:r>
      <w:r w:rsidR="00BD7381">
        <w:rPr>
          <w:rFonts w:ascii="Times New Roman" w:eastAsia="Times New Roman" w:hAnsi="Times New Roman" w:cs="Times New Roman"/>
        </w:rPr>
        <w:t>[13]</w:t>
      </w:r>
      <w:r w:rsidR="00F609F6">
        <w:rPr>
          <w:rFonts w:ascii="Times New Roman" w:hAnsi="Times New Roman" w:cs="Times New Roman" w:hint="eastAsia"/>
        </w:rPr>
        <w:t>，表</w:t>
      </w:r>
      <w:r w:rsidR="00F609F6" w:rsidRPr="00F609F6">
        <w:rPr>
          <w:rFonts w:ascii="Times New Roman" w:hAnsi="Times New Roman" w:cs="Times New Roman" w:hint="eastAsia"/>
        </w:rPr>
        <w:t>明需要分离微生物</w:t>
      </w:r>
      <w:r w:rsidR="00F609F6">
        <w:rPr>
          <w:rFonts w:ascii="Times New Roman" w:hAnsi="Times New Roman" w:cs="Times New Roman" w:hint="eastAsia"/>
        </w:rPr>
        <w:t>才能精确</w:t>
      </w:r>
      <w:r w:rsidR="00F609F6" w:rsidRPr="00F609F6">
        <w:rPr>
          <w:rFonts w:ascii="Times New Roman" w:hAnsi="Times New Roman" w:cs="Times New Roman" w:hint="eastAsia"/>
        </w:rPr>
        <w:t>评估它们的功能。</w:t>
      </w:r>
      <w:r w:rsidR="000232F8">
        <w:rPr>
          <w:rFonts w:ascii="Times New Roman" w:hAnsi="Times New Roman" w:cs="Times New Roman" w:hint="eastAsia"/>
        </w:rPr>
        <w:t>虽然公共数据库中缺乏参考基因组无疑限制了功能</w:t>
      </w:r>
      <w:r w:rsidR="00852D09" w:rsidRPr="00852D09">
        <w:rPr>
          <w:rFonts w:ascii="Times New Roman" w:hAnsi="Times New Roman" w:cs="Times New Roman" w:hint="eastAsia"/>
        </w:rPr>
        <w:t>预测工具</w:t>
      </w:r>
      <w:r w:rsidR="000232F8">
        <w:rPr>
          <w:rFonts w:ascii="Times New Roman" w:hAnsi="Times New Roman" w:cs="Times New Roman" w:hint="eastAsia"/>
        </w:rPr>
        <w:t>的作用发挥，但这个例子进一步说明，参考基因组可用</w:t>
      </w:r>
      <w:r w:rsidR="00852D09" w:rsidRPr="00852D09">
        <w:rPr>
          <w:rFonts w:ascii="Times New Roman" w:hAnsi="Times New Roman" w:cs="Times New Roman" w:hint="eastAsia"/>
        </w:rPr>
        <w:t>并不</w:t>
      </w:r>
      <w:r w:rsidR="000232F8">
        <w:rPr>
          <w:rFonts w:ascii="Times New Roman" w:hAnsi="Times New Roman" w:cs="Times New Roman" w:hint="eastAsia"/>
        </w:rPr>
        <w:t>代表功能</w:t>
      </w:r>
      <w:r w:rsidR="00852D09" w:rsidRPr="00852D09">
        <w:rPr>
          <w:rFonts w:ascii="Times New Roman" w:hAnsi="Times New Roman" w:cs="Times New Roman" w:hint="eastAsia"/>
        </w:rPr>
        <w:t>推断</w:t>
      </w:r>
      <w:r w:rsidR="000232F8" w:rsidRPr="00852D09">
        <w:rPr>
          <w:rFonts w:ascii="Times New Roman" w:hAnsi="Times New Roman" w:cs="Times New Roman" w:hint="eastAsia"/>
        </w:rPr>
        <w:t>可靠</w:t>
      </w:r>
      <w:r w:rsidR="00852D09" w:rsidRPr="00852D09">
        <w:rPr>
          <w:rFonts w:ascii="Times New Roman" w:hAnsi="Times New Roman" w:cs="Times New Roman" w:hint="eastAsia"/>
        </w:rPr>
        <w:t>。</w:t>
      </w:r>
    </w:p>
    <w:p w14:paraId="49FD51F4" w14:textId="77777777" w:rsidR="004C48C2" w:rsidRDefault="004C48C2" w:rsidP="00AB6D1B">
      <w:pPr>
        <w:ind w:firstLineChars="200" w:firstLine="420"/>
      </w:pPr>
    </w:p>
    <w:p w14:paraId="163DE532" w14:textId="77777777" w:rsidR="004C48C2" w:rsidRPr="00DB58BE" w:rsidRDefault="004C48C2" w:rsidP="00DB58BE">
      <w:pPr>
        <w:spacing w:line="480" w:lineRule="auto"/>
        <w:outlineLvl w:val="1"/>
        <w:rPr>
          <w:rFonts w:ascii="Times New Roman" w:hAnsi="Times New Roman" w:cs="Times New Roman"/>
          <w:b/>
          <w:sz w:val="30"/>
          <w:szCs w:val="30"/>
        </w:rPr>
      </w:pPr>
      <w:r w:rsidRPr="00DB58BE">
        <w:rPr>
          <w:rFonts w:ascii="Times New Roman" w:hAnsi="Times New Roman" w:cs="Times New Roman" w:hint="eastAsia"/>
          <w:b/>
          <w:sz w:val="30"/>
          <w:szCs w:val="30"/>
        </w:rPr>
        <w:t>标记基因的基因组内变异性</w:t>
      </w:r>
    </w:p>
    <w:p w14:paraId="5F8E63B0" w14:textId="77777777" w:rsidR="004C48C2" w:rsidRDefault="00045564" w:rsidP="00AB6D1B">
      <w:pPr>
        <w:ind w:firstLineChars="200" w:firstLine="420"/>
        <w:rPr>
          <w:rFonts w:ascii="Times New Roman" w:hAnsi="Times New Roman" w:cs="Times New Roman"/>
        </w:rPr>
      </w:pPr>
      <w:r w:rsidRPr="00045564">
        <w:rPr>
          <w:rFonts w:hint="eastAsia"/>
        </w:rPr>
        <w:t>利用扩增子测序数据</w:t>
      </w:r>
      <w:r>
        <w:rPr>
          <w:rFonts w:hint="eastAsia"/>
        </w:rPr>
        <w:t>分析</w:t>
      </w:r>
      <w:r w:rsidRPr="00045564">
        <w:rPr>
          <w:rFonts w:hint="eastAsia"/>
        </w:rPr>
        <w:t>微生物组结构的另一个</w:t>
      </w:r>
      <w:r>
        <w:rPr>
          <w:rFonts w:hint="eastAsia"/>
        </w:rPr>
        <w:t>难点</w:t>
      </w:r>
      <w:r w:rsidRPr="00045564">
        <w:rPr>
          <w:rFonts w:hint="eastAsia"/>
        </w:rPr>
        <w:t>是微生物基因组中标记基因的拷贝数</w:t>
      </w:r>
      <w:r>
        <w:rPr>
          <w:rFonts w:hint="eastAsia"/>
        </w:rPr>
        <w:t>有差异</w:t>
      </w:r>
      <w:r w:rsidRPr="00045564">
        <w:rPr>
          <w:rFonts w:hint="eastAsia"/>
        </w:rPr>
        <w:t>。真菌可以包含多达几百个</w:t>
      </w:r>
      <w:r w:rsidR="00D03908">
        <w:rPr>
          <w:rFonts w:hint="eastAsia"/>
        </w:rPr>
        <w:t>被</w:t>
      </w:r>
      <w:r w:rsidR="00D03908">
        <w:t>ITS</w:t>
      </w:r>
      <w:r w:rsidR="00D03908">
        <w:t>分隔开的</w:t>
      </w:r>
      <w:r w:rsidRPr="00045564">
        <w:rPr>
          <w:rFonts w:hint="eastAsia"/>
        </w:rPr>
        <w:t>rRNA</w:t>
      </w:r>
      <w:r w:rsidRPr="00045564">
        <w:rPr>
          <w:rFonts w:hint="eastAsia"/>
        </w:rPr>
        <w:t>基因拷贝</w:t>
      </w:r>
      <w:r w:rsidR="00D03908">
        <w:rPr>
          <w:rFonts w:hint="eastAsia"/>
        </w:rPr>
        <w:t>，</w:t>
      </w:r>
      <w:r w:rsidR="005A4FE1">
        <w:rPr>
          <w:rFonts w:hint="eastAsia"/>
        </w:rPr>
        <w:t>但又在</w:t>
      </w:r>
      <w:r w:rsidR="005A4FE1">
        <w:t>不同的真菌中呈现数量级的差异</w:t>
      </w:r>
      <w:r w:rsidR="005A4FE1">
        <w:rPr>
          <w:rFonts w:ascii="Times New Roman" w:eastAsia="Times New Roman" w:hAnsi="Times New Roman" w:cs="Times New Roman"/>
        </w:rPr>
        <w:t>[14]</w:t>
      </w:r>
      <w:r w:rsidR="005A4FE1">
        <w:rPr>
          <w:rFonts w:ascii="Times New Roman" w:hAnsi="Times New Roman" w:cs="Times New Roman" w:hint="eastAsia"/>
        </w:rPr>
        <w:t>。</w:t>
      </w:r>
      <w:r w:rsidR="007D6FB5" w:rsidRPr="007D6FB5">
        <w:rPr>
          <w:rFonts w:ascii="Times New Roman" w:hAnsi="Times New Roman" w:cs="Times New Roman" w:hint="eastAsia"/>
        </w:rPr>
        <w:t>即使在</w:t>
      </w:r>
      <w:r w:rsidR="00D70C94">
        <w:rPr>
          <w:rFonts w:ascii="Times New Roman" w:hAnsi="Times New Roman" w:cs="Times New Roman" w:hint="eastAsia"/>
        </w:rPr>
        <w:t>同一种水平</w:t>
      </w:r>
      <w:r w:rsidR="00D70C94">
        <w:rPr>
          <w:rFonts w:ascii="Times New Roman" w:hAnsi="Times New Roman" w:cs="Times New Roman"/>
        </w:rPr>
        <w:t>的</w:t>
      </w:r>
      <w:r w:rsidR="007D6FB5" w:rsidRPr="007D6FB5">
        <w:rPr>
          <w:rFonts w:ascii="Times New Roman" w:hAnsi="Times New Roman" w:cs="Times New Roman" w:hint="eastAsia"/>
        </w:rPr>
        <w:t>真菌</w:t>
      </w:r>
      <w:r w:rsidR="00D70C94">
        <w:rPr>
          <w:rFonts w:ascii="Times New Roman" w:hAnsi="Times New Roman" w:cs="Times New Roman" w:hint="eastAsia"/>
        </w:rPr>
        <w:t>菌</w:t>
      </w:r>
      <w:r w:rsidR="007D6FB5" w:rsidRPr="007D6FB5">
        <w:rPr>
          <w:rFonts w:ascii="Times New Roman" w:hAnsi="Times New Roman" w:cs="Times New Roman" w:hint="eastAsia"/>
        </w:rPr>
        <w:t>株中，</w:t>
      </w:r>
      <w:r w:rsidR="00D70C94">
        <w:rPr>
          <w:rFonts w:ascii="Times New Roman" w:hAnsi="Times New Roman" w:cs="Times New Roman" w:hint="eastAsia"/>
        </w:rPr>
        <w:t>各</w:t>
      </w:r>
      <w:r w:rsidR="007D6FB5" w:rsidRPr="007D6FB5">
        <w:rPr>
          <w:rFonts w:ascii="Times New Roman" w:hAnsi="Times New Roman" w:cs="Times New Roman" w:hint="eastAsia"/>
        </w:rPr>
        <w:t>基因组的</w:t>
      </w:r>
      <w:r w:rsidR="007D6FB5" w:rsidRPr="007D6FB5">
        <w:rPr>
          <w:rFonts w:ascii="Times New Roman" w:hAnsi="Times New Roman" w:cs="Times New Roman" w:hint="eastAsia"/>
        </w:rPr>
        <w:t>18S</w:t>
      </w:r>
      <w:r w:rsidR="007D6FB5" w:rsidRPr="007D6FB5">
        <w:rPr>
          <w:rFonts w:ascii="Times New Roman" w:hAnsi="Times New Roman" w:cs="Times New Roman" w:hint="eastAsia"/>
        </w:rPr>
        <w:t>和</w:t>
      </w:r>
      <w:r w:rsidR="007D6FB5" w:rsidRPr="007D6FB5">
        <w:rPr>
          <w:rFonts w:ascii="Times New Roman" w:hAnsi="Times New Roman" w:cs="Times New Roman" w:hint="eastAsia"/>
        </w:rPr>
        <w:t>28S rRNA</w:t>
      </w:r>
      <w:r w:rsidR="007D6FB5" w:rsidRPr="007D6FB5">
        <w:rPr>
          <w:rFonts w:ascii="Times New Roman" w:hAnsi="Times New Roman" w:cs="Times New Roman" w:hint="eastAsia"/>
        </w:rPr>
        <w:t>基因的拷贝数也可以有很大的差异</w:t>
      </w:r>
      <w:r w:rsidR="00D70C94">
        <w:rPr>
          <w:rFonts w:ascii="Times New Roman" w:eastAsia="Times New Roman" w:hAnsi="Times New Roman" w:cs="Times New Roman"/>
        </w:rPr>
        <w:t>[14–17]</w:t>
      </w:r>
      <w:r w:rsidR="00D70C94">
        <w:rPr>
          <w:rFonts w:ascii="Times New Roman" w:hAnsi="Times New Roman" w:cs="Times New Roman" w:hint="eastAsia"/>
        </w:rPr>
        <w:t>。</w:t>
      </w:r>
      <w:proofErr w:type="spellStart"/>
      <w:r w:rsidR="00CA2D24" w:rsidRPr="00CA2D24">
        <w:rPr>
          <w:rFonts w:ascii="Times New Roman" w:hAnsi="Times New Roman" w:cs="Times New Roman" w:hint="eastAsia"/>
        </w:rPr>
        <w:t>Lavrinienko</w:t>
      </w:r>
      <w:proofErr w:type="spellEnd"/>
      <w:r w:rsidR="00CA2D24" w:rsidRPr="00CA2D24">
        <w:rPr>
          <w:rFonts w:ascii="Times New Roman" w:hAnsi="Times New Roman" w:cs="Times New Roman" w:hint="eastAsia"/>
        </w:rPr>
        <w:t>等人</w:t>
      </w:r>
      <w:r w:rsidR="00CA2D24" w:rsidRPr="00CA2D24">
        <w:rPr>
          <w:rFonts w:ascii="Times New Roman" w:hAnsi="Times New Roman" w:cs="Times New Roman" w:hint="eastAsia"/>
        </w:rPr>
        <w:t>[18]</w:t>
      </w:r>
      <w:r w:rsidR="00CA2D24" w:rsidRPr="00CA2D24">
        <w:rPr>
          <w:rFonts w:ascii="Times New Roman" w:hAnsi="Times New Roman" w:cs="Times New Roman" w:hint="eastAsia"/>
        </w:rPr>
        <w:t>推测，</w:t>
      </w:r>
      <w:r w:rsidR="00CA2D24" w:rsidRPr="00CA2D24">
        <w:rPr>
          <w:rFonts w:ascii="Times New Roman" w:hAnsi="Times New Roman" w:cs="Times New Roman" w:hint="eastAsia"/>
        </w:rPr>
        <w:t>ITS</w:t>
      </w:r>
      <w:r w:rsidR="00CA2D24" w:rsidRPr="00CA2D24">
        <w:rPr>
          <w:rFonts w:ascii="Times New Roman" w:hAnsi="Times New Roman" w:cs="Times New Roman" w:hint="eastAsia"/>
        </w:rPr>
        <w:t>等非转录区域可能具有更大的拷贝数</w:t>
      </w:r>
      <w:r w:rsidR="00CA2D24">
        <w:rPr>
          <w:rFonts w:ascii="Times New Roman" w:hAnsi="Times New Roman" w:cs="Times New Roman" w:hint="eastAsia"/>
        </w:rPr>
        <w:t>变异</w:t>
      </w:r>
      <w:r w:rsidR="00CA2D24" w:rsidRPr="00CA2D24">
        <w:rPr>
          <w:rFonts w:ascii="Times New Roman" w:hAnsi="Times New Roman" w:cs="Times New Roman" w:hint="eastAsia"/>
        </w:rPr>
        <w:t>性。同样，如</w:t>
      </w:r>
      <w:r w:rsidR="00CA2D24" w:rsidRPr="00CA2D24">
        <w:rPr>
          <w:rFonts w:ascii="Times New Roman" w:hAnsi="Times New Roman" w:cs="Times New Roman" w:hint="eastAsia"/>
        </w:rPr>
        <w:t xml:space="preserve">Rainey </w:t>
      </w:r>
      <w:r w:rsidR="00CA2D24">
        <w:rPr>
          <w:rFonts w:ascii="Times New Roman" w:hAnsi="Times New Roman" w:cs="Times New Roman" w:hint="eastAsia"/>
        </w:rPr>
        <w:t>等人</w:t>
      </w:r>
      <w:r w:rsidR="00CA2D24" w:rsidRPr="00CA2D24">
        <w:rPr>
          <w:rFonts w:ascii="Times New Roman" w:hAnsi="Times New Roman" w:cs="Times New Roman" w:hint="eastAsia"/>
        </w:rPr>
        <w:t>[19]</w:t>
      </w:r>
      <w:r w:rsidR="00CA2D24">
        <w:rPr>
          <w:rFonts w:ascii="Times New Roman" w:hAnsi="Times New Roman" w:cs="Times New Roman" w:hint="eastAsia"/>
        </w:rPr>
        <w:t>研究</w:t>
      </w:r>
      <w:r w:rsidR="00CA2D24" w:rsidRPr="00CA2D24">
        <w:rPr>
          <w:rFonts w:ascii="Times New Roman" w:hAnsi="Times New Roman" w:cs="Times New Roman" w:hint="eastAsia"/>
        </w:rPr>
        <w:t>所示，细菌可能含有多拷贝的</w:t>
      </w:r>
      <w:r w:rsidR="00CA2D24" w:rsidRPr="00CA2D24">
        <w:rPr>
          <w:rFonts w:ascii="Times New Roman" w:hAnsi="Times New Roman" w:cs="Times New Roman" w:hint="eastAsia"/>
        </w:rPr>
        <w:t>16S rRNA</w:t>
      </w:r>
      <w:r w:rsidR="00CA2D24" w:rsidRPr="00CA2D24">
        <w:rPr>
          <w:rFonts w:ascii="Times New Roman" w:hAnsi="Times New Roman" w:cs="Times New Roman" w:hint="eastAsia"/>
        </w:rPr>
        <w:t>基因。最近的估计表明，每个细菌物种</w:t>
      </w:r>
      <w:r w:rsidR="00CA2D24" w:rsidRPr="00CA2D24">
        <w:rPr>
          <w:rFonts w:ascii="Times New Roman" w:hAnsi="Times New Roman" w:cs="Times New Roman" w:hint="eastAsia"/>
        </w:rPr>
        <w:t>16S rRNA</w:t>
      </w:r>
      <w:r w:rsidR="00CA2D24" w:rsidRPr="00CA2D24">
        <w:rPr>
          <w:rFonts w:ascii="Times New Roman" w:hAnsi="Times New Roman" w:cs="Times New Roman" w:hint="eastAsia"/>
        </w:rPr>
        <w:t>基因拷贝数的中位数可以在</w:t>
      </w:r>
      <w:r w:rsidR="00CA2D24" w:rsidRPr="00CA2D24">
        <w:rPr>
          <w:rFonts w:ascii="Times New Roman" w:hAnsi="Times New Roman" w:cs="Times New Roman" w:hint="eastAsia"/>
        </w:rPr>
        <w:t>1</w:t>
      </w:r>
      <w:r w:rsidR="00CA2D24" w:rsidRPr="00CA2D24">
        <w:rPr>
          <w:rFonts w:ascii="Times New Roman" w:hAnsi="Times New Roman" w:cs="Times New Roman" w:hint="eastAsia"/>
        </w:rPr>
        <w:t>到</w:t>
      </w:r>
      <w:r w:rsidR="00CA2D24" w:rsidRPr="00CA2D24">
        <w:rPr>
          <w:rFonts w:ascii="Times New Roman" w:hAnsi="Times New Roman" w:cs="Times New Roman" w:hint="eastAsia"/>
        </w:rPr>
        <w:t>19</w:t>
      </w:r>
      <w:r w:rsidR="00CA2D24" w:rsidRPr="00CA2D24">
        <w:rPr>
          <w:rFonts w:ascii="Times New Roman" w:hAnsi="Times New Roman" w:cs="Times New Roman" w:hint="eastAsia"/>
        </w:rPr>
        <w:t>之间变化</w:t>
      </w:r>
      <w:r w:rsidR="00C61D1C" w:rsidRPr="00CA2D24">
        <w:rPr>
          <w:rFonts w:ascii="Times New Roman" w:hAnsi="Times New Roman" w:cs="Times New Roman" w:hint="eastAsia"/>
        </w:rPr>
        <w:t>[20]</w:t>
      </w:r>
      <w:r w:rsidR="00CA2D24" w:rsidRPr="00CA2D24">
        <w:rPr>
          <w:rFonts w:ascii="Times New Roman" w:hAnsi="Times New Roman" w:cs="Times New Roman" w:hint="eastAsia"/>
        </w:rPr>
        <w:t>。</w:t>
      </w:r>
      <w:r w:rsidR="00C61D1C" w:rsidRPr="00C61D1C">
        <w:rPr>
          <w:rFonts w:ascii="Times New Roman" w:hAnsi="Times New Roman" w:cs="Times New Roman" w:hint="eastAsia"/>
        </w:rPr>
        <w:t>虽然</w:t>
      </w:r>
      <w:r w:rsidR="00C61D1C">
        <w:rPr>
          <w:rFonts w:ascii="Times New Roman" w:hAnsi="Times New Roman" w:cs="Times New Roman" w:hint="eastAsia"/>
        </w:rPr>
        <w:t>现在</w:t>
      </w:r>
      <w:r w:rsidR="00C61D1C" w:rsidRPr="00C61D1C">
        <w:rPr>
          <w:rFonts w:ascii="Times New Roman" w:hAnsi="Times New Roman" w:cs="Times New Roman" w:hint="eastAsia"/>
        </w:rPr>
        <w:t>已经开发出</w:t>
      </w:r>
      <w:r w:rsidR="00C61D1C">
        <w:rPr>
          <w:rFonts w:ascii="Times New Roman" w:hAnsi="Times New Roman" w:cs="Times New Roman" w:hint="eastAsia"/>
        </w:rPr>
        <w:t>了</w:t>
      </w:r>
      <w:r w:rsidR="00C61D1C" w:rsidRPr="00C61D1C">
        <w:rPr>
          <w:rFonts w:ascii="Times New Roman" w:hAnsi="Times New Roman" w:cs="Times New Roman" w:hint="eastAsia"/>
        </w:rPr>
        <w:t>修正古细菌和细菌基因组中</w:t>
      </w:r>
      <w:r w:rsidR="00C61D1C" w:rsidRPr="00C61D1C">
        <w:rPr>
          <w:rFonts w:ascii="Times New Roman" w:hAnsi="Times New Roman" w:cs="Times New Roman" w:hint="eastAsia"/>
        </w:rPr>
        <w:t>16S rRNA</w:t>
      </w:r>
      <w:r w:rsidR="00C61D1C" w:rsidRPr="00C61D1C">
        <w:rPr>
          <w:rFonts w:ascii="Times New Roman" w:hAnsi="Times New Roman" w:cs="Times New Roman" w:hint="eastAsia"/>
        </w:rPr>
        <w:t>基因拷贝数的工具</w:t>
      </w:r>
      <w:r w:rsidR="00C61D1C" w:rsidRPr="00C61D1C">
        <w:rPr>
          <w:rFonts w:ascii="Times New Roman" w:hAnsi="Times New Roman" w:cs="Times New Roman" w:hint="eastAsia"/>
        </w:rPr>
        <w:t>[21,22]</w:t>
      </w:r>
      <w:r w:rsidR="00C61D1C" w:rsidRPr="00C61D1C">
        <w:rPr>
          <w:rFonts w:ascii="Times New Roman" w:hAnsi="Times New Roman" w:cs="Times New Roman" w:hint="eastAsia"/>
        </w:rPr>
        <w:t>，但基因拷贝数修正的可靠性仍存在</w:t>
      </w:r>
      <w:r w:rsidR="00C61D1C">
        <w:rPr>
          <w:rFonts w:ascii="Times New Roman" w:hAnsi="Times New Roman" w:cs="Times New Roman" w:hint="eastAsia"/>
        </w:rPr>
        <w:t>不确定性和争议</w:t>
      </w:r>
      <w:r w:rsidR="00C61D1C" w:rsidRPr="00C61D1C">
        <w:rPr>
          <w:rFonts w:ascii="Times New Roman" w:hAnsi="Times New Roman" w:cs="Times New Roman" w:hint="eastAsia"/>
        </w:rPr>
        <w:t>[23,24]</w:t>
      </w:r>
      <w:r w:rsidR="00C61D1C" w:rsidRPr="00C61D1C">
        <w:rPr>
          <w:rFonts w:ascii="Times New Roman" w:hAnsi="Times New Roman" w:cs="Times New Roman" w:hint="eastAsia"/>
        </w:rPr>
        <w:t>。此外，</w:t>
      </w:r>
      <w:r w:rsidR="009D4DC6">
        <w:rPr>
          <w:rFonts w:ascii="Times New Roman" w:hAnsi="Times New Roman" w:cs="Times New Roman" w:hint="eastAsia"/>
        </w:rPr>
        <w:t>从本世纪之初</w:t>
      </w:r>
      <w:r w:rsidR="00C61D1C" w:rsidRPr="00C61D1C">
        <w:rPr>
          <w:rFonts w:ascii="Times New Roman" w:hAnsi="Times New Roman" w:cs="Times New Roman" w:hint="eastAsia"/>
        </w:rPr>
        <w:t>人们已经知道，单个细菌基因组中的</w:t>
      </w:r>
      <w:r w:rsidR="00C61D1C" w:rsidRPr="00C61D1C">
        <w:rPr>
          <w:rFonts w:ascii="Times New Roman" w:hAnsi="Times New Roman" w:cs="Times New Roman" w:hint="eastAsia"/>
        </w:rPr>
        <w:t>16S rRNA</w:t>
      </w:r>
      <w:r w:rsidR="00C61D1C" w:rsidRPr="00C61D1C">
        <w:rPr>
          <w:rFonts w:ascii="Times New Roman" w:hAnsi="Times New Roman" w:cs="Times New Roman" w:hint="eastAsia"/>
        </w:rPr>
        <w:t>基因并不总是相同的</w:t>
      </w:r>
      <w:r w:rsidR="00C61D1C" w:rsidRPr="00C61D1C">
        <w:rPr>
          <w:rFonts w:ascii="Times New Roman" w:hAnsi="Times New Roman" w:cs="Times New Roman" w:hint="eastAsia"/>
        </w:rPr>
        <w:t>(</w:t>
      </w:r>
      <w:r w:rsidR="00C61D1C" w:rsidRPr="00C61D1C">
        <w:rPr>
          <w:rFonts w:ascii="Times New Roman" w:hAnsi="Times New Roman" w:cs="Times New Roman" w:hint="eastAsia"/>
        </w:rPr>
        <w:t>例如</w:t>
      </w:r>
      <w:r w:rsidR="00C61D1C" w:rsidRPr="00C61D1C">
        <w:rPr>
          <w:rFonts w:ascii="Times New Roman" w:hAnsi="Times New Roman" w:cs="Times New Roman" w:hint="eastAsia"/>
        </w:rPr>
        <w:t>[25])</w:t>
      </w:r>
      <w:r w:rsidR="00C61D1C" w:rsidRPr="00C61D1C">
        <w:rPr>
          <w:rFonts w:ascii="Times New Roman" w:hAnsi="Times New Roman" w:cs="Times New Roman" w:hint="eastAsia"/>
        </w:rPr>
        <w:t>。</w:t>
      </w:r>
      <w:r w:rsidR="00CA5730" w:rsidRPr="00CA5730">
        <w:rPr>
          <w:rFonts w:ascii="Times New Roman" w:hAnsi="Times New Roman" w:cs="Times New Roman" w:hint="eastAsia"/>
        </w:rPr>
        <w:t>这可能会导致扩增子测序</w:t>
      </w:r>
      <w:r w:rsidR="00CA5730">
        <w:rPr>
          <w:rFonts w:ascii="Times New Roman" w:hAnsi="Times New Roman" w:cs="Times New Roman" w:hint="eastAsia"/>
        </w:rPr>
        <w:t>把本</w:t>
      </w:r>
      <w:r w:rsidR="00CA5730">
        <w:rPr>
          <w:rFonts w:ascii="Times New Roman" w:hAnsi="Times New Roman" w:cs="Times New Roman"/>
        </w:rPr>
        <w:t>属于</w:t>
      </w:r>
      <w:r w:rsidR="00CA5730" w:rsidRPr="00CA5730">
        <w:rPr>
          <w:rFonts w:ascii="Times New Roman" w:hAnsi="Times New Roman" w:cs="Times New Roman" w:hint="eastAsia"/>
        </w:rPr>
        <w:t>同一细菌细胞中的</w:t>
      </w:r>
      <w:r w:rsidR="00CA5730" w:rsidRPr="00CA5730">
        <w:rPr>
          <w:rFonts w:ascii="Times New Roman" w:hAnsi="Times New Roman" w:cs="Times New Roman" w:hint="eastAsia"/>
        </w:rPr>
        <w:t>16S rRNA</w:t>
      </w:r>
      <w:r w:rsidR="00CA5730" w:rsidRPr="00CA5730">
        <w:rPr>
          <w:rFonts w:ascii="Times New Roman" w:hAnsi="Times New Roman" w:cs="Times New Roman" w:hint="eastAsia"/>
        </w:rPr>
        <w:t>等位基因</w:t>
      </w:r>
      <w:r w:rsidR="00CA5730">
        <w:rPr>
          <w:rFonts w:ascii="Times New Roman" w:hAnsi="Times New Roman" w:cs="Times New Roman" w:hint="eastAsia"/>
        </w:rPr>
        <w:t>认定为</w:t>
      </w:r>
      <w:r w:rsidR="00CA5730" w:rsidRPr="00CA5730">
        <w:rPr>
          <w:rFonts w:ascii="Times New Roman" w:hAnsi="Times New Roman" w:cs="Times New Roman" w:hint="eastAsia"/>
        </w:rPr>
        <w:t>不同</w:t>
      </w:r>
      <w:r w:rsidR="00CA5730">
        <w:rPr>
          <w:rFonts w:ascii="Times New Roman" w:hAnsi="Times New Roman" w:cs="Times New Roman" w:hint="eastAsia"/>
        </w:rPr>
        <w:t>的细菌种</w:t>
      </w:r>
      <w:r w:rsidR="00CA5730">
        <w:rPr>
          <w:rFonts w:ascii="Times New Roman" w:hAnsi="Times New Roman" w:cs="Times New Roman"/>
        </w:rPr>
        <w:t>类</w:t>
      </w:r>
      <w:r w:rsidR="00CA5730" w:rsidRPr="00CA5730">
        <w:rPr>
          <w:rFonts w:ascii="Times New Roman" w:hAnsi="Times New Roman" w:cs="Times New Roman" w:hint="eastAsia"/>
        </w:rPr>
        <w:t>[26]</w:t>
      </w:r>
      <w:r w:rsidR="00CA5730" w:rsidRPr="00CA5730">
        <w:rPr>
          <w:rFonts w:ascii="Times New Roman" w:hAnsi="Times New Roman" w:cs="Times New Roman" w:hint="eastAsia"/>
        </w:rPr>
        <w:t>，</w:t>
      </w:r>
      <w:r w:rsidR="00CA5730">
        <w:rPr>
          <w:rFonts w:ascii="Times New Roman" w:hAnsi="Times New Roman" w:cs="Times New Roman" w:hint="eastAsia"/>
        </w:rPr>
        <w:t>从而</w:t>
      </w:r>
      <w:r w:rsidR="00CA5730" w:rsidRPr="00CA5730">
        <w:rPr>
          <w:rFonts w:ascii="Times New Roman" w:hAnsi="Times New Roman" w:cs="Times New Roman" w:hint="eastAsia"/>
        </w:rPr>
        <w:t>会</w:t>
      </w:r>
      <w:r w:rsidR="00CA5730">
        <w:rPr>
          <w:rFonts w:ascii="Times New Roman" w:hAnsi="Times New Roman" w:cs="Times New Roman" w:hint="eastAsia"/>
        </w:rPr>
        <w:t>高估</w:t>
      </w:r>
      <w:r w:rsidR="00CA5730" w:rsidRPr="00CA5730">
        <w:rPr>
          <w:rFonts w:ascii="Times New Roman" w:hAnsi="Times New Roman" w:cs="Times New Roman" w:hint="eastAsia"/>
        </w:rPr>
        <w:t>多样性</w:t>
      </w:r>
      <w:r w:rsidR="00CA5730" w:rsidRPr="00CA5730">
        <w:rPr>
          <w:rFonts w:ascii="Times New Roman" w:hAnsi="Times New Roman" w:cs="Times New Roman" w:hint="eastAsia"/>
        </w:rPr>
        <w:t>[27]</w:t>
      </w:r>
      <w:r w:rsidR="00CA5730" w:rsidRPr="00CA5730">
        <w:rPr>
          <w:rFonts w:ascii="Times New Roman" w:hAnsi="Times New Roman" w:cs="Times New Roman" w:hint="eastAsia"/>
        </w:rPr>
        <w:t>。</w:t>
      </w:r>
      <w:r w:rsidR="00971340" w:rsidRPr="00971340">
        <w:rPr>
          <w:rFonts w:ascii="Times New Roman" w:hAnsi="Times New Roman" w:cs="Times New Roman" w:hint="eastAsia"/>
        </w:rPr>
        <w:t>因此，</w:t>
      </w:r>
      <w:r w:rsidR="008E1535" w:rsidRPr="00971340">
        <w:rPr>
          <w:rFonts w:ascii="Times New Roman" w:hAnsi="Times New Roman" w:cs="Times New Roman" w:hint="eastAsia"/>
        </w:rPr>
        <w:t>除了可变标记基因拷贝数</w:t>
      </w:r>
      <w:r w:rsidR="00971340" w:rsidRPr="00971340">
        <w:rPr>
          <w:rFonts w:ascii="Times New Roman" w:hAnsi="Times New Roman" w:cs="Times New Roman" w:hint="eastAsia"/>
        </w:rPr>
        <w:t>在试图</w:t>
      </w:r>
      <w:r w:rsidR="008E1535">
        <w:rPr>
          <w:rFonts w:ascii="Times New Roman" w:hAnsi="Times New Roman" w:cs="Times New Roman" w:hint="eastAsia"/>
        </w:rPr>
        <w:t>评价</w:t>
      </w:r>
      <w:r w:rsidR="00971340" w:rsidRPr="00971340">
        <w:rPr>
          <w:rFonts w:ascii="Times New Roman" w:hAnsi="Times New Roman" w:cs="Times New Roman" w:hint="eastAsia"/>
        </w:rPr>
        <w:t>所研究环境中每个</w:t>
      </w:r>
      <w:r w:rsidR="008E1535">
        <w:rPr>
          <w:rFonts w:ascii="Times New Roman" w:hAnsi="Times New Roman" w:cs="Times New Roman" w:hint="eastAsia"/>
        </w:rPr>
        <w:t>种类</w:t>
      </w:r>
      <w:r w:rsidR="00971340" w:rsidRPr="00971340">
        <w:rPr>
          <w:rFonts w:ascii="Times New Roman" w:hAnsi="Times New Roman" w:cs="Times New Roman" w:hint="eastAsia"/>
        </w:rPr>
        <w:t>的相对贡献时的明显含义</w:t>
      </w:r>
      <w:r w:rsidR="00971340" w:rsidRPr="00971340">
        <w:rPr>
          <w:rFonts w:ascii="Times New Roman" w:hAnsi="Times New Roman" w:cs="Times New Roman" w:hint="eastAsia"/>
        </w:rPr>
        <w:t>(</w:t>
      </w:r>
      <w:r w:rsidR="00971340" w:rsidRPr="00971340">
        <w:rPr>
          <w:rFonts w:ascii="Times New Roman" w:hAnsi="Times New Roman" w:cs="Times New Roman" w:hint="eastAsia"/>
        </w:rPr>
        <w:t>即相对丰度失真</w:t>
      </w:r>
      <w:r w:rsidR="00971340" w:rsidRPr="00971340">
        <w:rPr>
          <w:rFonts w:ascii="Times New Roman" w:hAnsi="Times New Roman" w:cs="Times New Roman" w:hint="eastAsia"/>
        </w:rPr>
        <w:t>)</w:t>
      </w:r>
      <w:r w:rsidR="00971340" w:rsidRPr="00971340">
        <w:rPr>
          <w:rFonts w:ascii="Times New Roman" w:hAnsi="Times New Roman" w:cs="Times New Roman" w:hint="eastAsia"/>
        </w:rPr>
        <w:t>外，这种变异性有时会</w:t>
      </w:r>
      <w:r w:rsidR="001D54C5">
        <w:rPr>
          <w:rFonts w:ascii="Times New Roman" w:hAnsi="Times New Roman" w:cs="Times New Roman" w:hint="eastAsia"/>
        </w:rPr>
        <w:t>认为是</w:t>
      </w:r>
      <w:r w:rsidR="00971340" w:rsidRPr="00971340">
        <w:rPr>
          <w:rFonts w:ascii="Times New Roman" w:hAnsi="Times New Roman" w:cs="Times New Roman" w:hint="eastAsia"/>
        </w:rPr>
        <w:t>等位基因多样性，甚至会混淆微生物组的</w:t>
      </w:r>
      <w:r w:rsidR="001D54C5">
        <w:rPr>
          <w:rFonts w:ascii="Times New Roman" w:hAnsi="Times New Roman" w:cs="Times New Roman" w:hint="eastAsia"/>
        </w:rPr>
        <w:t>组成</w:t>
      </w:r>
      <w:r w:rsidR="00971340" w:rsidRPr="00971340">
        <w:rPr>
          <w:rFonts w:ascii="Times New Roman" w:hAnsi="Times New Roman" w:cs="Times New Roman" w:hint="eastAsia"/>
        </w:rPr>
        <w:t>。</w:t>
      </w:r>
      <w:r w:rsidR="00DE5048" w:rsidRPr="00DE5048">
        <w:rPr>
          <w:rFonts w:ascii="Times New Roman" w:hAnsi="Times New Roman" w:cs="Times New Roman" w:hint="eastAsia"/>
        </w:rPr>
        <w:t>由于潜在功能谱反映了分类谱中的所有偏差，标记基因的基因组内变异性</w:t>
      </w:r>
      <w:r w:rsidR="00820B4A">
        <w:rPr>
          <w:rFonts w:ascii="Times New Roman" w:hAnsi="Times New Roman" w:cs="Times New Roman" w:hint="eastAsia"/>
        </w:rPr>
        <w:t>会</w:t>
      </w:r>
      <w:r w:rsidR="00820B4A">
        <w:rPr>
          <w:rFonts w:ascii="Times New Roman" w:hAnsi="Times New Roman" w:cs="Times New Roman"/>
        </w:rPr>
        <w:t>干扰</w:t>
      </w:r>
      <w:r w:rsidR="00DE5048" w:rsidRPr="00DE5048">
        <w:rPr>
          <w:rFonts w:ascii="Times New Roman" w:hAnsi="Times New Roman" w:cs="Times New Roman" w:hint="eastAsia"/>
        </w:rPr>
        <w:t>潜在功能的相对重要性估计，</w:t>
      </w:r>
      <w:r w:rsidR="00820B4A">
        <w:rPr>
          <w:rFonts w:ascii="Times New Roman" w:hAnsi="Times New Roman" w:cs="Times New Roman" w:hint="eastAsia"/>
        </w:rPr>
        <w:t>进而可能</w:t>
      </w:r>
      <w:r w:rsidR="00DE5048" w:rsidRPr="00DE5048">
        <w:rPr>
          <w:rFonts w:ascii="Times New Roman" w:hAnsi="Times New Roman" w:cs="Times New Roman" w:hint="eastAsia"/>
        </w:rPr>
        <w:t>会</w:t>
      </w:r>
      <w:r w:rsidR="00DE5048">
        <w:rPr>
          <w:rFonts w:ascii="Times New Roman" w:hAnsi="Times New Roman" w:cs="Times New Roman" w:hint="eastAsia"/>
        </w:rPr>
        <w:t>高估</w:t>
      </w:r>
      <w:r w:rsidR="00DE5048" w:rsidRPr="00DE5048">
        <w:rPr>
          <w:rFonts w:ascii="Times New Roman" w:hAnsi="Times New Roman" w:cs="Times New Roman" w:hint="eastAsia"/>
        </w:rPr>
        <w:t>潜在功能</w:t>
      </w:r>
      <w:r w:rsidR="00DE5048">
        <w:rPr>
          <w:rFonts w:ascii="Times New Roman" w:hAnsi="Times New Roman" w:cs="Times New Roman" w:hint="eastAsia"/>
        </w:rPr>
        <w:t>谱的</w:t>
      </w:r>
      <w:r w:rsidR="00DE5048" w:rsidRPr="00DE5048">
        <w:rPr>
          <w:rFonts w:ascii="Times New Roman" w:hAnsi="Times New Roman" w:cs="Times New Roman" w:hint="eastAsia"/>
        </w:rPr>
        <w:t>多样性。</w:t>
      </w:r>
    </w:p>
    <w:p w14:paraId="74933D70" w14:textId="77777777" w:rsidR="007D3875" w:rsidRPr="00DB58BE" w:rsidRDefault="007D3875" w:rsidP="00DB58BE">
      <w:pPr>
        <w:spacing w:line="480" w:lineRule="auto"/>
        <w:outlineLvl w:val="1"/>
        <w:rPr>
          <w:rFonts w:ascii="Times New Roman" w:hAnsi="Times New Roman" w:cs="Times New Roman"/>
          <w:b/>
          <w:sz w:val="30"/>
          <w:szCs w:val="30"/>
        </w:rPr>
      </w:pPr>
      <w:r w:rsidRPr="00DB58BE">
        <w:rPr>
          <w:rFonts w:ascii="Times New Roman" w:hAnsi="Times New Roman" w:cs="Times New Roman" w:hint="eastAsia"/>
          <w:b/>
          <w:sz w:val="30"/>
          <w:szCs w:val="30"/>
        </w:rPr>
        <w:t>微生物组数据的组成性质</w:t>
      </w:r>
    </w:p>
    <w:p w14:paraId="4FA8DE1C" w14:textId="77777777" w:rsidR="007D3875" w:rsidRDefault="002E14A5" w:rsidP="00AB6D1B">
      <w:pPr>
        <w:ind w:firstLineChars="200" w:firstLine="420"/>
      </w:pPr>
      <w:r w:rsidRPr="002E14A5">
        <w:rPr>
          <w:rFonts w:hint="eastAsia"/>
        </w:rPr>
        <w:t>由于</w:t>
      </w:r>
      <w:r w:rsidRPr="002E14A5">
        <w:rPr>
          <w:rFonts w:hint="eastAsia"/>
        </w:rPr>
        <w:t>NGS</w:t>
      </w:r>
      <w:r w:rsidRPr="002E14A5">
        <w:rPr>
          <w:rFonts w:hint="eastAsia"/>
        </w:rPr>
        <w:t>从样本中产生的</w:t>
      </w:r>
      <w:r>
        <w:rPr>
          <w:rFonts w:hint="eastAsia"/>
        </w:rPr>
        <w:t>序列</w:t>
      </w:r>
      <w:r w:rsidRPr="002E14A5">
        <w:rPr>
          <w:rFonts w:hint="eastAsia"/>
        </w:rPr>
        <w:t>读</w:t>
      </w:r>
      <w:r>
        <w:rPr>
          <w:rFonts w:hint="eastAsia"/>
        </w:rPr>
        <w:t>数</w:t>
      </w:r>
      <w:r w:rsidRPr="002E14A5">
        <w:rPr>
          <w:rFonts w:hint="eastAsia"/>
        </w:rPr>
        <w:t>与样本中的细菌细胞数量之间没有关系</w:t>
      </w:r>
      <w:r w:rsidRPr="002E14A5">
        <w:rPr>
          <w:rFonts w:hint="eastAsia"/>
        </w:rPr>
        <w:t>[28]</w:t>
      </w:r>
      <w:r w:rsidRPr="002E14A5">
        <w:rPr>
          <w:rFonts w:hint="eastAsia"/>
        </w:rPr>
        <w:t>，因此</w:t>
      </w:r>
      <w:r w:rsidR="00F2124E">
        <w:rPr>
          <w:rFonts w:hint="eastAsia"/>
        </w:rPr>
        <w:t>这个读数并</w:t>
      </w:r>
      <w:r w:rsidRPr="002E14A5">
        <w:rPr>
          <w:rFonts w:hint="eastAsia"/>
        </w:rPr>
        <w:t>不转化为细菌丰度。</w:t>
      </w:r>
      <w:r w:rsidR="00181D2D" w:rsidRPr="00181D2D">
        <w:rPr>
          <w:rFonts w:hint="eastAsia"/>
        </w:rPr>
        <w:t>NGS</w:t>
      </w:r>
      <w:r w:rsidR="006A48A4">
        <w:rPr>
          <w:rFonts w:hint="eastAsia"/>
        </w:rPr>
        <w:t>中每个分类单元产生的读</w:t>
      </w:r>
      <w:r w:rsidR="00181D2D" w:rsidRPr="00181D2D">
        <w:rPr>
          <w:rFonts w:hint="eastAsia"/>
        </w:rPr>
        <w:t>数仅反映了群落</w:t>
      </w:r>
      <w:r w:rsidR="00BC6B20">
        <w:rPr>
          <w:rFonts w:hint="eastAsia"/>
        </w:rPr>
        <w:t>一</w:t>
      </w:r>
      <w:r w:rsidR="00BC6B20" w:rsidRPr="00181D2D">
        <w:rPr>
          <w:rFonts w:hint="eastAsia"/>
        </w:rPr>
        <w:t>部分</w:t>
      </w:r>
      <w:r w:rsidR="00181D2D" w:rsidRPr="00181D2D">
        <w:rPr>
          <w:rFonts w:hint="eastAsia"/>
        </w:rPr>
        <w:t>的相对大小，使</w:t>
      </w:r>
      <w:r w:rsidR="00181D2D" w:rsidRPr="00181D2D">
        <w:rPr>
          <w:rFonts w:hint="eastAsia"/>
        </w:rPr>
        <w:t>NGS</w:t>
      </w:r>
      <w:r w:rsidR="00181D2D" w:rsidRPr="00181D2D">
        <w:rPr>
          <w:rFonts w:hint="eastAsia"/>
        </w:rPr>
        <w:t>微生物组数据集</w:t>
      </w:r>
      <w:r w:rsidR="00BC6B20">
        <w:rPr>
          <w:rFonts w:hint="eastAsia"/>
        </w:rPr>
        <w:t>是</w:t>
      </w:r>
      <w:r w:rsidR="00BC6B20">
        <w:t>可组装的</w:t>
      </w:r>
      <w:r w:rsidR="00181D2D" w:rsidRPr="00181D2D">
        <w:rPr>
          <w:rFonts w:hint="eastAsia"/>
        </w:rPr>
        <w:t>[29]</w:t>
      </w:r>
      <w:r w:rsidR="00181D2D" w:rsidRPr="00181D2D">
        <w:rPr>
          <w:rFonts w:hint="eastAsia"/>
        </w:rPr>
        <w:t>。</w:t>
      </w:r>
      <w:r w:rsidR="000D466F" w:rsidRPr="000D466F">
        <w:rPr>
          <w:rFonts w:hint="eastAsia"/>
        </w:rPr>
        <w:t>换句话说，这意味着</w:t>
      </w:r>
      <w:r w:rsidR="000D466F">
        <w:rPr>
          <w:rFonts w:hint="eastAsia"/>
        </w:rPr>
        <w:t>它</w:t>
      </w:r>
      <w:r w:rsidR="000D466F" w:rsidRPr="000D466F">
        <w:rPr>
          <w:rFonts w:hint="eastAsia"/>
        </w:rPr>
        <w:t>解锁了一个微生物群落中类群的相对测序读取丰度</w:t>
      </w:r>
      <w:r w:rsidR="000D466F">
        <w:rPr>
          <w:rFonts w:hint="eastAsia"/>
        </w:rPr>
        <w:t>（</w:t>
      </w:r>
      <w:proofErr w:type="gramStart"/>
      <w:r w:rsidR="000D466F" w:rsidRPr="000D466F">
        <w:rPr>
          <w:rFonts w:hint="eastAsia"/>
        </w:rPr>
        <w:t>即比例</w:t>
      </w:r>
      <w:proofErr w:type="gramEnd"/>
      <w:r w:rsidR="000D466F" w:rsidRPr="000D466F">
        <w:rPr>
          <w:rFonts w:hint="eastAsia"/>
        </w:rPr>
        <w:t>或频率</w:t>
      </w:r>
      <w:r w:rsidR="000D466F">
        <w:rPr>
          <w:rFonts w:hint="eastAsia"/>
        </w:rPr>
        <w:t>）</w:t>
      </w:r>
      <w:r w:rsidR="000D466F" w:rsidRPr="000D466F">
        <w:rPr>
          <w:rFonts w:hint="eastAsia"/>
        </w:rPr>
        <w:t>，但由于整个群落的大小</w:t>
      </w:r>
      <w:r w:rsidR="000D466F">
        <w:rPr>
          <w:rFonts w:hint="eastAsia"/>
        </w:rPr>
        <w:t>（</w:t>
      </w:r>
      <w:r w:rsidR="000D466F" w:rsidRPr="000D466F">
        <w:rPr>
          <w:rFonts w:hint="eastAsia"/>
        </w:rPr>
        <w:t>微生物生物量</w:t>
      </w:r>
      <w:r w:rsidR="000D466F">
        <w:rPr>
          <w:rFonts w:hint="eastAsia"/>
        </w:rPr>
        <w:t>）</w:t>
      </w:r>
      <w:r w:rsidR="000D466F" w:rsidRPr="000D466F">
        <w:rPr>
          <w:rFonts w:hint="eastAsia"/>
        </w:rPr>
        <w:t>仍然未知，</w:t>
      </w:r>
      <w:r w:rsidR="000D466F">
        <w:rPr>
          <w:rFonts w:hint="eastAsia"/>
        </w:rPr>
        <w:t>它</w:t>
      </w:r>
      <w:r w:rsidR="000D466F" w:rsidRPr="000D466F">
        <w:rPr>
          <w:rFonts w:hint="eastAsia"/>
        </w:rPr>
        <w:t>没</w:t>
      </w:r>
      <w:r w:rsidR="000D466F">
        <w:rPr>
          <w:rFonts w:hint="eastAsia"/>
        </w:rPr>
        <w:t>能</w:t>
      </w:r>
      <w:r w:rsidR="000D466F" w:rsidRPr="000D466F">
        <w:rPr>
          <w:rFonts w:hint="eastAsia"/>
        </w:rPr>
        <w:t>揭示类群的绝对丰度</w:t>
      </w:r>
      <w:r w:rsidR="000D466F" w:rsidRPr="000D466F">
        <w:rPr>
          <w:rFonts w:hint="eastAsia"/>
        </w:rPr>
        <w:t>[28</w:t>
      </w:r>
      <w:r w:rsidR="000D466F">
        <w:rPr>
          <w:rFonts w:ascii="Times New Roman" w:eastAsia="Times New Roman" w:hAnsi="Times New Roman" w:cs="Times New Roman"/>
        </w:rPr>
        <w:t>–</w:t>
      </w:r>
      <w:r w:rsidR="000D466F" w:rsidRPr="000D466F">
        <w:rPr>
          <w:rFonts w:hint="eastAsia"/>
        </w:rPr>
        <w:t>31]</w:t>
      </w:r>
      <w:r w:rsidR="000D466F">
        <w:rPr>
          <w:rFonts w:hint="eastAsia"/>
        </w:rPr>
        <w:t>。</w:t>
      </w:r>
      <w:r w:rsidR="00CF6D10" w:rsidRPr="00CF6D10">
        <w:rPr>
          <w:rFonts w:hint="eastAsia"/>
        </w:rPr>
        <w:t>因此，即使一个群落的预测功能</w:t>
      </w:r>
      <w:r w:rsidR="00E21EC6">
        <w:rPr>
          <w:rFonts w:hint="eastAsia"/>
        </w:rPr>
        <w:t>谱</w:t>
      </w:r>
      <w:r w:rsidR="00CF6D10" w:rsidRPr="00CF6D10">
        <w:rPr>
          <w:rFonts w:hint="eastAsia"/>
        </w:rPr>
        <w:t>与其实际功能</w:t>
      </w:r>
      <w:r w:rsidR="00E21EC6">
        <w:rPr>
          <w:rFonts w:hint="eastAsia"/>
        </w:rPr>
        <w:t>相吻合</w:t>
      </w:r>
      <w:r w:rsidR="00CF6D10" w:rsidRPr="00CF6D10">
        <w:rPr>
          <w:rFonts w:hint="eastAsia"/>
        </w:rPr>
        <w:t>，</w:t>
      </w:r>
      <w:r w:rsidR="00E21EC6">
        <w:rPr>
          <w:rFonts w:hint="eastAsia"/>
        </w:rPr>
        <w:t>但</w:t>
      </w:r>
      <w:r w:rsidR="00E21EC6">
        <w:t>由于</w:t>
      </w:r>
      <w:r w:rsidR="00E21EC6">
        <w:rPr>
          <w:rFonts w:hint="eastAsia"/>
        </w:rPr>
        <w:t>未考虑该群落的总种群规模，</w:t>
      </w:r>
      <w:r w:rsidR="00CF6D10" w:rsidRPr="00CF6D10">
        <w:rPr>
          <w:rFonts w:hint="eastAsia"/>
        </w:rPr>
        <w:t>而无法对功能潜力的大小进行估计。</w:t>
      </w:r>
      <w:r w:rsidR="005C5D46" w:rsidRPr="005C5D46">
        <w:t>For example, given two compositionally identical microbiomes (microbiome A and B) that differ in their overall population size by factor two (microbiome A has double the population size of B), we would like to compare their predicted to their realized functional potential.</w:t>
      </w:r>
      <w:r w:rsidR="005C5D46" w:rsidRPr="005C5D46">
        <w:rPr>
          <w:rFonts w:hint="eastAsia"/>
        </w:rPr>
        <w:t xml:space="preserve"> </w:t>
      </w:r>
      <w:r w:rsidR="005C5D46" w:rsidRPr="005C5D46">
        <w:rPr>
          <w:rFonts w:hint="eastAsia"/>
        </w:rPr>
        <w:t>例如，</w:t>
      </w:r>
      <w:r w:rsidR="005C5D46">
        <w:rPr>
          <w:rFonts w:hint="eastAsia"/>
        </w:rPr>
        <w:t>假定有</w:t>
      </w:r>
      <w:r w:rsidR="005C5D46" w:rsidRPr="005C5D46">
        <w:rPr>
          <w:rFonts w:hint="eastAsia"/>
        </w:rPr>
        <w:t>定两个组成相同的微生物组</w:t>
      </w:r>
      <w:r w:rsidR="005C5D46" w:rsidRPr="005C5D46">
        <w:rPr>
          <w:rFonts w:hint="eastAsia"/>
        </w:rPr>
        <w:t>(</w:t>
      </w:r>
      <w:r w:rsidR="005C5D46" w:rsidRPr="005C5D46">
        <w:rPr>
          <w:rFonts w:hint="eastAsia"/>
        </w:rPr>
        <w:t>微生物组</w:t>
      </w:r>
      <w:r w:rsidR="005C5D46" w:rsidRPr="005C5D46">
        <w:rPr>
          <w:rFonts w:hint="eastAsia"/>
        </w:rPr>
        <w:t>A</w:t>
      </w:r>
      <w:r w:rsidR="005C5D46" w:rsidRPr="005C5D46">
        <w:rPr>
          <w:rFonts w:hint="eastAsia"/>
        </w:rPr>
        <w:t>和微生物组</w:t>
      </w:r>
      <w:r w:rsidR="005C5D46" w:rsidRPr="005C5D46">
        <w:rPr>
          <w:rFonts w:hint="eastAsia"/>
        </w:rPr>
        <w:t>B)</w:t>
      </w:r>
      <w:r w:rsidR="005C5D46" w:rsidRPr="005C5D46">
        <w:rPr>
          <w:rFonts w:hint="eastAsia"/>
        </w:rPr>
        <w:t>，</w:t>
      </w:r>
      <w:r w:rsidR="005C5D46">
        <w:rPr>
          <w:rFonts w:hint="eastAsia"/>
        </w:rPr>
        <w:t>且</w:t>
      </w:r>
      <w:r w:rsidR="005C5D46" w:rsidRPr="005C5D46">
        <w:rPr>
          <w:rFonts w:hint="eastAsia"/>
        </w:rPr>
        <w:t>微生物组</w:t>
      </w:r>
      <w:r w:rsidR="005C5D46" w:rsidRPr="005C5D46">
        <w:rPr>
          <w:rFonts w:hint="eastAsia"/>
        </w:rPr>
        <w:t>A</w:t>
      </w:r>
      <w:r w:rsidR="005C5D46" w:rsidRPr="005C5D46">
        <w:rPr>
          <w:rFonts w:hint="eastAsia"/>
        </w:rPr>
        <w:t>的种群大小是</w:t>
      </w:r>
      <w:r w:rsidR="005C5D46" w:rsidRPr="005C5D46">
        <w:rPr>
          <w:rFonts w:hint="eastAsia"/>
        </w:rPr>
        <w:t>B</w:t>
      </w:r>
      <w:r w:rsidR="005C5D46" w:rsidRPr="005C5D46">
        <w:rPr>
          <w:rFonts w:hint="eastAsia"/>
        </w:rPr>
        <w:t>的两倍，我们希望比较它们的预测功能潜力</w:t>
      </w:r>
      <w:r w:rsidR="005C5D46">
        <w:rPr>
          <w:rFonts w:hint="eastAsia"/>
        </w:rPr>
        <w:t>和实际</w:t>
      </w:r>
      <w:r w:rsidR="005C5D46" w:rsidRPr="005C5D46">
        <w:rPr>
          <w:rFonts w:hint="eastAsia"/>
        </w:rPr>
        <w:t>功能潜力。</w:t>
      </w:r>
      <w:r w:rsidR="005C5D46">
        <w:rPr>
          <w:rFonts w:hint="eastAsia"/>
        </w:rPr>
        <w:t>虽然它们的预测</w:t>
      </w:r>
      <w:r w:rsidR="005C5D46" w:rsidRPr="005C5D46">
        <w:rPr>
          <w:rFonts w:hint="eastAsia"/>
        </w:rPr>
        <w:t>功能潜力是相同的，但</w:t>
      </w:r>
      <w:r w:rsidR="005C5D46">
        <w:rPr>
          <w:rFonts w:hint="eastAsia"/>
        </w:rPr>
        <w:t>实际上</w:t>
      </w:r>
      <w:r w:rsidR="005C5D46" w:rsidRPr="005C5D46">
        <w:rPr>
          <w:rFonts w:hint="eastAsia"/>
        </w:rPr>
        <w:t>微生物组</w:t>
      </w:r>
      <w:r w:rsidR="005C5D46" w:rsidRPr="005C5D46">
        <w:rPr>
          <w:rFonts w:hint="eastAsia"/>
        </w:rPr>
        <w:t>A</w:t>
      </w:r>
      <w:r w:rsidR="005C5D46" w:rsidRPr="005C5D46">
        <w:rPr>
          <w:rFonts w:hint="eastAsia"/>
        </w:rPr>
        <w:t>的功能潜力是</w:t>
      </w:r>
      <w:r w:rsidR="005C5D46">
        <w:t>B</w:t>
      </w:r>
      <w:r w:rsidR="005C5D46">
        <w:rPr>
          <w:rFonts w:hint="eastAsia"/>
        </w:rPr>
        <w:t>的</w:t>
      </w:r>
      <w:r w:rsidR="005C5D46" w:rsidRPr="005C5D46">
        <w:rPr>
          <w:rFonts w:hint="eastAsia"/>
        </w:rPr>
        <w:t>两倍。</w:t>
      </w:r>
      <w:r w:rsidR="005C5D46">
        <w:rPr>
          <w:rFonts w:hint="eastAsia"/>
        </w:rPr>
        <w:t>目前</w:t>
      </w:r>
      <w:r w:rsidR="005C5D46">
        <w:t>也有很多</w:t>
      </w:r>
      <w:r w:rsidR="005C5D46">
        <w:rPr>
          <w:rFonts w:hint="eastAsia"/>
        </w:rPr>
        <w:t>其他</w:t>
      </w:r>
      <w:r w:rsidR="005C5D46" w:rsidRPr="005C5D46">
        <w:rPr>
          <w:rFonts w:hint="eastAsia"/>
        </w:rPr>
        <w:t>的微生物定量方法</w:t>
      </w:r>
      <w:r w:rsidR="005C5D46">
        <w:t>可以</w:t>
      </w:r>
      <w:r w:rsidR="005C5D46" w:rsidRPr="005C5D46">
        <w:rPr>
          <w:rFonts w:hint="eastAsia"/>
        </w:rPr>
        <w:t>克服微生物组分析的这一局限性</w:t>
      </w:r>
      <w:r w:rsidR="005C5D46" w:rsidRPr="005C5D46">
        <w:rPr>
          <w:rFonts w:hint="eastAsia"/>
        </w:rPr>
        <w:t>(</w:t>
      </w:r>
      <w:r w:rsidR="005C5D46" w:rsidRPr="005C5D46">
        <w:rPr>
          <w:rFonts w:hint="eastAsia"/>
        </w:rPr>
        <w:t>如</w:t>
      </w:r>
      <w:r w:rsidR="005C5D46" w:rsidRPr="005C5D46">
        <w:rPr>
          <w:rFonts w:hint="eastAsia"/>
        </w:rPr>
        <w:t>[28,30,32</w:t>
      </w:r>
      <w:r w:rsidR="00D76C32">
        <w:rPr>
          <w:rFonts w:ascii="Times New Roman" w:eastAsia="Times New Roman" w:hAnsi="Times New Roman" w:cs="Times New Roman"/>
        </w:rPr>
        <w:t>–</w:t>
      </w:r>
      <w:r w:rsidR="005C5D46" w:rsidRPr="005C5D46">
        <w:rPr>
          <w:rFonts w:hint="eastAsia"/>
        </w:rPr>
        <w:t>34])</w:t>
      </w:r>
      <w:r w:rsidR="005C5D46" w:rsidRPr="005C5D46">
        <w:rPr>
          <w:rFonts w:hint="eastAsia"/>
        </w:rPr>
        <w:t>，</w:t>
      </w:r>
      <w:r w:rsidR="00E25F9C">
        <w:rPr>
          <w:rFonts w:hint="eastAsia"/>
        </w:rPr>
        <w:t>但是</w:t>
      </w:r>
      <w:r w:rsidR="00E25F9C" w:rsidRPr="00E25F9C">
        <w:rPr>
          <w:rFonts w:hint="eastAsia"/>
        </w:rPr>
        <w:t>不同的量化方法可能会引入额外的数据</w:t>
      </w:r>
      <w:r w:rsidR="00E25F9C">
        <w:rPr>
          <w:rFonts w:hint="eastAsia"/>
        </w:rPr>
        <w:t>异质性</w:t>
      </w:r>
      <w:r w:rsidR="005C5D46" w:rsidRPr="005C5D46">
        <w:rPr>
          <w:rFonts w:hint="eastAsia"/>
        </w:rPr>
        <w:t>。</w:t>
      </w:r>
    </w:p>
    <w:p w14:paraId="1C5DABB8" w14:textId="77777777" w:rsidR="005D3545" w:rsidRDefault="005D3545" w:rsidP="00AB6D1B">
      <w:pPr>
        <w:ind w:firstLineChars="200" w:firstLine="420"/>
      </w:pPr>
      <w:r w:rsidRPr="005D3545">
        <w:rPr>
          <w:rFonts w:hint="eastAsia"/>
        </w:rPr>
        <w:t>另一种规避</w:t>
      </w:r>
      <w:r>
        <w:rPr>
          <w:rFonts w:hint="eastAsia"/>
        </w:rPr>
        <w:t>微生物组成数据分析问题</w:t>
      </w:r>
      <w:r w:rsidRPr="005D3545">
        <w:rPr>
          <w:rFonts w:hint="eastAsia"/>
        </w:rPr>
        <w:t>的策略是使用比率</w:t>
      </w:r>
      <w:r w:rsidRPr="005D3545">
        <w:rPr>
          <w:rFonts w:hint="eastAsia"/>
        </w:rPr>
        <w:t>[36]</w:t>
      </w:r>
      <w:r>
        <w:rPr>
          <w:rFonts w:hint="eastAsia"/>
        </w:rPr>
        <w:t>，</w:t>
      </w:r>
      <w:r w:rsidRPr="005D3545">
        <w:rPr>
          <w:rFonts w:hint="eastAsia"/>
        </w:rPr>
        <w:t>因为</w:t>
      </w:r>
      <w:r>
        <w:rPr>
          <w:rFonts w:hint="eastAsia"/>
        </w:rPr>
        <w:t>使用</w:t>
      </w:r>
      <w:r w:rsidRPr="005D3545">
        <w:rPr>
          <w:rFonts w:hint="eastAsia"/>
        </w:rPr>
        <w:t>比率</w:t>
      </w:r>
      <w:r>
        <w:rPr>
          <w:rFonts w:hint="eastAsia"/>
        </w:rPr>
        <w:t>可以</w:t>
      </w:r>
      <w:r>
        <w:t>消除</w:t>
      </w:r>
      <w:r w:rsidRPr="005D3545">
        <w:rPr>
          <w:rFonts w:hint="eastAsia"/>
        </w:rPr>
        <w:t>微生物</w:t>
      </w:r>
      <w:r>
        <w:rPr>
          <w:rFonts w:hint="eastAsia"/>
        </w:rPr>
        <w:t>自身</w:t>
      </w:r>
      <w:r w:rsidRPr="005D3545">
        <w:rPr>
          <w:rFonts w:hint="eastAsia"/>
        </w:rPr>
        <w:t>负荷</w:t>
      </w:r>
      <w:r>
        <w:rPr>
          <w:rFonts w:hint="eastAsia"/>
        </w:rPr>
        <w:t>造成</w:t>
      </w:r>
      <w:r>
        <w:t>的</w:t>
      </w:r>
      <w:r w:rsidRPr="005D3545">
        <w:rPr>
          <w:rFonts w:hint="eastAsia"/>
        </w:rPr>
        <w:t>偏差</w:t>
      </w:r>
      <w:r w:rsidRPr="005D3545">
        <w:rPr>
          <w:rFonts w:hint="eastAsia"/>
        </w:rPr>
        <w:t>[37]</w:t>
      </w:r>
      <w:r>
        <w:rPr>
          <w:rFonts w:hint="eastAsia"/>
        </w:rPr>
        <w:t>。</w:t>
      </w:r>
      <w:r w:rsidR="00FC0E72" w:rsidRPr="00FC0E72">
        <w:rPr>
          <w:rFonts w:hint="eastAsia"/>
        </w:rPr>
        <w:t>所以如果微生物群的功能可以用</w:t>
      </w:r>
      <w:r w:rsidR="0068123F">
        <w:rPr>
          <w:rFonts w:hint="eastAsia"/>
        </w:rPr>
        <w:t>分子</w:t>
      </w:r>
      <w:r w:rsidR="0068123F">
        <w:t>/</w:t>
      </w:r>
      <w:r w:rsidR="0068123F">
        <w:rPr>
          <w:rFonts w:hint="eastAsia"/>
        </w:rPr>
        <w:t>功能</w:t>
      </w:r>
      <w:r w:rsidR="0068123F">
        <w:t>/</w:t>
      </w:r>
      <w:r w:rsidR="0068123F">
        <w:rPr>
          <w:rFonts w:hint="eastAsia"/>
        </w:rPr>
        <w:t>过程</w:t>
      </w:r>
      <w:r w:rsidR="00FC0E72" w:rsidRPr="00FC0E72">
        <w:rPr>
          <w:rFonts w:hint="eastAsia"/>
        </w:rPr>
        <w:t>比率来表示</w:t>
      </w:r>
      <w:r w:rsidR="0068123F">
        <w:rPr>
          <w:rFonts w:hint="eastAsia"/>
        </w:rPr>
        <w:t>，正如</w:t>
      </w:r>
      <w:r w:rsidR="0068123F">
        <w:t>生物系统中的碳氮比、</w:t>
      </w:r>
      <w:r w:rsidR="0068123F">
        <w:rPr>
          <w:rFonts w:hint="eastAsia"/>
        </w:rPr>
        <w:t>白蛋白</w:t>
      </w:r>
      <w:r w:rsidR="0068123F">
        <w:rPr>
          <w:rFonts w:hint="eastAsia"/>
        </w:rPr>
        <w:t>/</w:t>
      </w:r>
      <w:r w:rsidR="0068123F">
        <w:rPr>
          <w:rFonts w:hint="eastAsia"/>
        </w:rPr>
        <w:t>球蛋白</w:t>
      </w:r>
      <w:r w:rsidR="0068123F">
        <w:t>比、</w:t>
      </w:r>
      <w:r w:rsidR="0068123F">
        <w:rPr>
          <w:rFonts w:hint="eastAsia"/>
        </w:rPr>
        <w:t>中性</w:t>
      </w:r>
      <w:r w:rsidR="0068123F">
        <w:t>粒细胞</w:t>
      </w:r>
      <w:r w:rsidR="0068123F">
        <w:t>/</w:t>
      </w:r>
      <w:r w:rsidR="0068123F">
        <w:rPr>
          <w:rFonts w:hint="eastAsia"/>
        </w:rPr>
        <w:t>淋巴细胞</w:t>
      </w:r>
      <w:r w:rsidR="0068123F">
        <w:t>比</w:t>
      </w:r>
      <w:r w:rsidR="00902556">
        <w:rPr>
          <w:rFonts w:hint="eastAsia"/>
        </w:rPr>
        <w:t>一样</w:t>
      </w:r>
      <w:r w:rsidR="00902556">
        <w:t>，</w:t>
      </w:r>
      <w:r w:rsidR="00902556" w:rsidRPr="00902556">
        <w:rPr>
          <w:rFonts w:hint="eastAsia"/>
        </w:rPr>
        <w:t>潜在</w:t>
      </w:r>
      <w:r w:rsidR="00902556">
        <w:rPr>
          <w:rFonts w:hint="eastAsia"/>
        </w:rPr>
        <w:t>功能</w:t>
      </w:r>
      <w:r w:rsidR="00902556" w:rsidRPr="00902556">
        <w:rPr>
          <w:rFonts w:hint="eastAsia"/>
        </w:rPr>
        <w:t>的相对丰度变成了有价值的信息，微生物</w:t>
      </w:r>
      <w:r w:rsidR="00902556">
        <w:rPr>
          <w:rFonts w:hint="eastAsia"/>
        </w:rPr>
        <w:t>的生物量</w:t>
      </w:r>
      <w:r w:rsidR="00902556" w:rsidRPr="00902556">
        <w:rPr>
          <w:rFonts w:hint="eastAsia"/>
        </w:rPr>
        <w:t>变得不那么关键</w:t>
      </w:r>
      <w:r w:rsidR="00902556">
        <w:rPr>
          <w:rFonts w:hint="eastAsia"/>
        </w:rPr>
        <w:t>。</w:t>
      </w:r>
      <w:r w:rsidR="00A17F17" w:rsidRPr="00A17F17">
        <w:rPr>
          <w:rFonts w:hint="eastAsia"/>
        </w:rPr>
        <w:t>虽然</w:t>
      </w:r>
      <w:proofErr w:type="gramStart"/>
      <w:r w:rsidR="00A17F17" w:rsidRPr="00A17F17">
        <w:rPr>
          <w:rFonts w:hint="eastAsia"/>
        </w:rPr>
        <w:t>不</w:t>
      </w:r>
      <w:proofErr w:type="gramEnd"/>
      <w:r w:rsidR="00A17F17" w:rsidRPr="00A17F17">
        <w:rPr>
          <w:rFonts w:hint="eastAsia"/>
        </w:rPr>
        <w:t>总是</w:t>
      </w:r>
      <w:r w:rsidR="00A17F17">
        <w:rPr>
          <w:rFonts w:hint="eastAsia"/>
        </w:rPr>
        <w:t>实用</w:t>
      </w:r>
      <w:r w:rsidR="00A17F17" w:rsidRPr="00A17F17">
        <w:rPr>
          <w:rFonts w:hint="eastAsia"/>
        </w:rPr>
        <w:t>，</w:t>
      </w:r>
      <w:r w:rsidR="00A17F17">
        <w:rPr>
          <w:rFonts w:hint="eastAsia"/>
        </w:rPr>
        <w:t>且</w:t>
      </w:r>
      <w:r w:rsidR="00A17F17" w:rsidRPr="00A17F17">
        <w:rPr>
          <w:rFonts w:hint="eastAsia"/>
        </w:rPr>
        <w:t>我们</w:t>
      </w:r>
      <w:r w:rsidR="00A17F17">
        <w:rPr>
          <w:rFonts w:hint="eastAsia"/>
        </w:rPr>
        <w:t>对数据</w:t>
      </w:r>
      <w:r w:rsidR="00A17F17" w:rsidRPr="00A17F17">
        <w:rPr>
          <w:rFonts w:hint="eastAsia"/>
        </w:rPr>
        <w:t>组成</w:t>
      </w:r>
      <w:r w:rsidR="00A17F17">
        <w:rPr>
          <w:rFonts w:hint="eastAsia"/>
        </w:rPr>
        <w:t>特性本身的</w:t>
      </w:r>
      <w:r w:rsidR="00A17F17">
        <w:t>担忧依然存在</w:t>
      </w:r>
      <w:r w:rsidR="00A17F17" w:rsidRPr="00A17F17">
        <w:rPr>
          <w:rFonts w:hint="eastAsia"/>
        </w:rPr>
        <w:t>，</w:t>
      </w:r>
      <w:r w:rsidR="00A17F17">
        <w:rPr>
          <w:rFonts w:hint="eastAsia"/>
        </w:rPr>
        <w:t>但</w:t>
      </w:r>
      <w:r w:rsidR="00A17F17" w:rsidRPr="00A17F17">
        <w:rPr>
          <w:rFonts w:hint="eastAsia"/>
        </w:rPr>
        <w:t>我们建议在分析功能</w:t>
      </w:r>
      <w:r w:rsidR="00A17F17">
        <w:rPr>
          <w:rFonts w:hint="eastAsia"/>
        </w:rPr>
        <w:t>谱</w:t>
      </w:r>
      <w:r w:rsidR="00A17F17" w:rsidRPr="00A17F17">
        <w:rPr>
          <w:rFonts w:hint="eastAsia"/>
        </w:rPr>
        <w:t>时尽可能使用比率。无论如何，</w:t>
      </w:r>
      <w:r w:rsidR="00A17F17">
        <w:rPr>
          <w:rFonts w:hint="eastAsia"/>
        </w:rPr>
        <w:t>使用</w:t>
      </w:r>
      <w:r w:rsidR="00A17F17" w:rsidRPr="00A17F17">
        <w:rPr>
          <w:rFonts w:hint="eastAsia"/>
        </w:rPr>
        <w:t>比率的</w:t>
      </w:r>
      <w:r w:rsidR="00A17F17">
        <w:rPr>
          <w:rFonts w:hint="eastAsia"/>
        </w:rPr>
        <w:t>成分感知</w:t>
      </w:r>
      <w:r w:rsidR="00A17F17" w:rsidRPr="00A17F17">
        <w:rPr>
          <w:rFonts w:hint="eastAsia"/>
        </w:rPr>
        <w:t>统计方法使数据不太依赖于</w:t>
      </w:r>
      <w:r w:rsidR="00A17F17">
        <w:rPr>
          <w:rFonts w:hint="eastAsia"/>
        </w:rPr>
        <w:t>微生物生物量，因此</w:t>
      </w:r>
      <w:r w:rsidR="00A17F17">
        <w:t>这类方法</w:t>
      </w:r>
      <w:r w:rsidR="00A17F17" w:rsidRPr="00A17F17">
        <w:rPr>
          <w:rFonts w:hint="eastAsia"/>
        </w:rPr>
        <w:t>也</w:t>
      </w:r>
      <w:r w:rsidR="00A17F17">
        <w:rPr>
          <w:rFonts w:hint="eastAsia"/>
        </w:rPr>
        <w:t>是</w:t>
      </w:r>
      <w:r w:rsidR="00A17F17" w:rsidRPr="00A17F17">
        <w:rPr>
          <w:rFonts w:hint="eastAsia"/>
        </w:rPr>
        <w:t>很有用</w:t>
      </w:r>
      <w:r w:rsidR="00A17F17">
        <w:rPr>
          <w:rFonts w:hint="eastAsia"/>
        </w:rPr>
        <w:t>的，</w:t>
      </w:r>
      <w:r w:rsidR="00A17F17" w:rsidRPr="00A17F17">
        <w:rPr>
          <w:rFonts w:hint="eastAsia"/>
        </w:rPr>
        <w:t>应该得到青睐</w:t>
      </w:r>
      <w:r w:rsidR="000F2A4A">
        <w:rPr>
          <w:rFonts w:ascii="Times New Roman" w:eastAsia="Times New Roman" w:hAnsi="Times New Roman" w:cs="Times New Roman"/>
        </w:rPr>
        <w:t>[29]</w:t>
      </w:r>
      <w:r w:rsidR="00A17F17" w:rsidRPr="00A17F17">
        <w:rPr>
          <w:rFonts w:hint="eastAsia"/>
        </w:rPr>
        <w:t>。</w:t>
      </w:r>
    </w:p>
    <w:p w14:paraId="509179A0" w14:textId="77777777" w:rsidR="00A253C1" w:rsidRDefault="00A253C1" w:rsidP="00AB6D1B">
      <w:pPr>
        <w:ind w:firstLineChars="200" w:firstLine="420"/>
      </w:pPr>
      <w:r w:rsidRPr="00A253C1">
        <w:rPr>
          <w:rFonts w:hint="eastAsia"/>
        </w:rPr>
        <w:t>最后，尽管这里没有讨论，但值得一提的是，</w:t>
      </w:r>
      <w:r w:rsidRPr="00A253C1">
        <w:rPr>
          <w:rFonts w:hint="eastAsia"/>
        </w:rPr>
        <w:t>PCR</w:t>
      </w:r>
      <w:r w:rsidRPr="00A253C1">
        <w:rPr>
          <w:rFonts w:hint="eastAsia"/>
        </w:rPr>
        <w:t>偏差是一个众所周知的误差来源，它可以</w:t>
      </w:r>
      <w:r>
        <w:rPr>
          <w:rFonts w:hint="eastAsia"/>
        </w:rPr>
        <w:t>曲解群落</w:t>
      </w:r>
      <w:r w:rsidRPr="00A253C1">
        <w:rPr>
          <w:rFonts w:hint="eastAsia"/>
        </w:rPr>
        <w:t>组成</w:t>
      </w:r>
      <w:r w:rsidRPr="00A253C1">
        <w:rPr>
          <w:rFonts w:hint="eastAsia"/>
        </w:rPr>
        <w:t>(</w:t>
      </w:r>
      <w:r w:rsidRPr="00A253C1">
        <w:rPr>
          <w:rFonts w:hint="eastAsia"/>
        </w:rPr>
        <w:t>例如</w:t>
      </w:r>
      <w:r w:rsidRPr="00A253C1">
        <w:rPr>
          <w:rFonts w:hint="eastAsia"/>
        </w:rPr>
        <w:t>[38])</w:t>
      </w:r>
      <w:r>
        <w:rPr>
          <w:rFonts w:hint="eastAsia"/>
        </w:rPr>
        <w:t>和</w:t>
      </w:r>
      <w:r w:rsidRPr="00A253C1">
        <w:rPr>
          <w:rFonts w:hint="eastAsia"/>
        </w:rPr>
        <w:t>功能预测。</w:t>
      </w:r>
    </w:p>
    <w:p w14:paraId="77F3C969" w14:textId="77777777" w:rsidR="00F44B27" w:rsidRDefault="00F44B27" w:rsidP="00AB6D1B">
      <w:pPr>
        <w:ind w:firstLineChars="200" w:firstLine="420"/>
      </w:pPr>
    </w:p>
    <w:p w14:paraId="5E82BCA0" w14:textId="77777777" w:rsidR="00F44B27" w:rsidRPr="00DB58BE" w:rsidRDefault="00F44B27" w:rsidP="00DB58BE">
      <w:pPr>
        <w:spacing w:line="480" w:lineRule="auto"/>
        <w:outlineLvl w:val="1"/>
        <w:rPr>
          <w:rFonts w:ascii="Times New Roman" w:hAnsi="Times New Roman" w:cs="Times New Roman"/>
          <w:b/>
          <w:sz w:val="30"/>
          <w:szCs w:val="30"/>
        </w:rPr>
      </w:pPr>
      <w:r w:rsidRPr="00DB58BE">
        <w:rPr>
          <w:rFonts w:ascii="Times New Roman" w:hAnsi="Times New Roman" w:cs="Times New Roman" w:hint="eastAsia"/>
          <w:b/>
          <w:sz w:val="30"/>
          <w:szCs w:val="30"/>
        </w:rPr>
        <w:t>测定微生物群的实际功能</w:t>
      </w:r>
    </w:p>
    <w:p w14:paraId="588B2D26" w14:textId="77777777" w:rsidR="00F44B27" w:rsidRDefault="003E71D7" w:rsidP="00AB6D1B">
      <w:pPr>
        <w:ind w:firstLineChars="200" w:firstLine="420"/>
      </w:pPr>
      <w:r w:rsidRPr="003E71D7">
        <w:rPr>
          <w:rFonts w:hint="eastAsia"/>
        </w:rPr>
        <w:t>另一种要求更高的方法是在</w:t>
      </w:r>
      <w:r>
        <w:rPr>
          <w:rFonts w:hint="eastAsia"/>
        </w:rPr>
        <w:t>尽量</w:t>
      </w:r>
      <w:r w:rsidRPr="003E71D7">
        <w:rPr>
          <w:rFonts w:hint="eastAsia"/>
        </w:rPr>
        <w:t>测</w:t>
      </w:r>
      <w:r>
        <w:rPr>
          <w:rFonts w:hint="eastAsia"/>
        </w:rPr>
        <w:t>定</w:t>
      </w:r>
      <w:r w:rsidRPr="003E71D7">
        <w:rPr>
          <w:rFonts w:hint="eastAsia"/>
        </w:rPr>
        <w:t>微生物群的实际功能</w:t>
      </w:r>
      <w:r>
        <w:rPr>
          <w:rFonts w:hint="eastAsia"/>
        </w:rPr>
        <w:t>。</w:t>
      </w:r>
      <w:r>
        <w:t>比如</w:t>
      </w:r>
      <w:r>
        <w:rPr>
          <w:rFonts w:hint="eastAsia"/>
        </w:rPr>
        <w:t>，受环境微生物调控的过程（</w:t>
      </w:r>
      <w:r w:rsidRPr="003E71D7">
        <w:rPr>
          <w:rFonts w:hint="eastAsia"/>
        </w:rPr>
        <w:t>如酶活性</w:t>
      </w:r>
      <w:r w:rsidRPr="003E71D7">
        <w:rPr>
          <w:rFonts w:hint="eastAsia"/>
        </w:rPr>
        <w:t>[39]</w:t>
      </w:r>
      <w:r w:rsidRPr="003E71D7">
        <w:rPr>
          <w:rFonts w:hint="eastAsia"/>
        </w:rPr>
        <w:t>、温室气体</w:t>
      </w:r>
      <w:r>
        <w:rPr>
          <w:rFonts w:hint="eastAsia"/>
        </w:rPr>
        <w:t>排放</w:t>
      </w:r>
      <w:r w:rsidRPr="003E71D7">
        <w:rPr>
          <w:rFonts w:hint="eastAsia"/>
        </w:rPr>
        <w:t>通量</w:t>
      </w:r>
      <w:r w:rsidRPr="003E71D7">
        <w:rPr>
          <w:rFonts w:hint="eastAsia"/>
        </w:rPr>
        <w:t>[40]</w:t>
      </w:r>
      <w:r w:rsidRPr="003E71D7">
        <w:rPr>
          <w:rFonts w:hint="eastAsia"/>
        </w:rPr>
        <w:t>和固氮</w:t>
      </w:r>
      <w:r w:rsidRPr="003E71D7">
        <w:rPr>
          <w:rFonts w:hint="eastAsia"/>
        </w:rPr>
        <w:t>[41]</w:t>
      </w:r>
      <w:r>
        <w:rPr>
          <w:rFonts w:hint="eastAsia"/>
        </w:rPr>
        <w:t>）</w:t>
      </w:r>
      <w:r w:rsidRPr="003E71D7">
        <w:rPr>
          <w:rFonts w:hint="eastAsia"/>
        </w:rPr>
        <w:t>通常可以</w:t>
      </w:r>
      <w:r>
        <w:rPr>
          <w:rFonts w:hint="eastAsia"/>
        </w:rPr>
        <w:t>原位测定。</w:t>
      </w:r>
      <w:r w:rsidR="0095156F">
        <w:rPr>
          <w:rFonts w:hint="eastAsia"/>
        </w:rPr>
        <w:t>同样地</w:t>
      </w:r>
      <w:r w:rsidR="0095156F">
        <w:t>，</w:t>
      </w:r>
      <w:r w:rsidR="0095156F" w:rsidRPr="0095156F">
        <w:rPr>
          <w:rFonts w:hint="eastAsia"/>
        </w:rPr>
        <w:t>通过正交</w:t>
      </w:r>
      <w:r w:rsidR="0095156F">
        <w:rPr>
          <w:rFonts w:hint="eastAsia"/>
        </w:rPr>
        <w:t>测定</w:t>
      </w:r>
      <w:r w:rsidR="0095156F" w:rsidRPr="0095156F">
        <w:rPr>
          <w:rFonts w:hint="eastAsia"/>
        </w:rPr>
        <w:t>粪便代谢物，可以评估人体</w:t>
      </w:r>
      <w:r w:rsidR="0095156F">
        <w:rPr>
          <w:rFonts w:hint="eastAsia"/>
        </w:rPr>
        <w:t>/</w:t>
      </w:r>
      <w:r w:rsidR="0095156F">
        <w:rPr>
          <w:rFonts w:hint="eastAsia"/>
        </w:rPr>
        <w:t>动物</w:t>
      </w:r>
      <w:r w:rsidR="0095156F" w:rsidRPr="0095156F">
        <w:rPr>
          <w:rFonts w:hint="eastAsia"/>
        </w:rPr>
        <w:t>肠道微生物的功能</w:t>
      </w:r>
      <w:r w:rsidR="00B92AE4">
        <w:rPr>
          <w:rFonts w:hint="eastAsia"/>
        </w:rPr>
        <w:t>，这已经</w:t>
      </w:r>
      <w:r w:rsidR="00B92AE4">
        <w:t>被成功地用于研究肠道微生物</w:t>
      </w:r>
      <w:r w:rsidR="00B92AE4">
        <w:rPr>
          <w:rFonts w:hint="eastAsia"/>
        </w:rPr>
        <w:t>和</w:t>
      </w:r>
      <w:r w:rsidR="00B92AE4">
        <w:t>生物转化的关系</w:t>
      </w:r>
      <w:r w:rsidR="00B92AE4">
        <w:rPr>
          <w:rFonts w:hint="eastAsia"/>
        </w:rPr>
        <w:t>，</w:t>
      </w:r>
      <w:r w:rsidR="00B92AE4">
        <w:t>这些关系</w:t>
      </w:r>
      <w:r w:rsidR="00B92AE4">
        <w:rPr>
          <w:rFonts w:hint="eastAsia"/>
        </w:rPr>
        <w:t>一定程度上可解释一些包括</w:t>
      </w:r>
      <w:r w:rsidR="00B92AE4" w:rsidRPr="00B92AE4">
        <w:rPr>
          <w:rFonts w:hint="eastAsia"/>
        </w:rPr>
        <w:t>免疫抑制剂</w:t>
      </w:r>
      <w:r w:rsidR="00B92AE4">
        <w:rPr>
          <w:rFonts w:hint="eastAsia"/>
        </w:rPr>
        <w:t>在内的</w:t>
      </w:r>
      <w:r w:rsidR="00B92AE4">
        <w:t>药物</w:t>
      </w:r>
      <w:r w:rsidR="00B92AE4" w:rsidRPr="0095156F">
        <w:t>[42</w:t>
      </w:r>
      <w:r w:rsidR="00B92AE4">
        <w:t>-43</w:t>
      </w:r>
      <w:r w:rsidR="00B92AE4" w:rsidRPr="0095156F">
        <w:t>]</w:t>
      </w:r>
      <w:r w:rsidR="00B92AE4">
        <w:t>在病人体内</w:t>
      </w:r>
      <w:r w:rsidR="00B92AE4">
        <w:rPr>
          <w:rFonts w:hint="eastAsia"/>
        </w:rPr>
        <w:t>的差异性。</w:t>
      </w:r>
      <w:r w:rsidR="000249A7" w:rsidRPr="000249A7">
        <w:rPr>
          <w:rFonts w:hint="eastAsia"/>
        </w:rPr>
        <w:t>只有当</w:t>
      </w:r>
      <w:r w:rsidR="00CF16EF" w:rsidRPr="000249A7">
        <w:rPr>
          <w:rFonts w:hint="eastAsia"/>
        </w:rPr>
        <w:t>微生物群落</w:t>
      </w:r>
      <w:r w:rsidR="00CF16EF">
        <w:rPr>
          <w:rFonts w:hint="eastAsia"/>
        </w:rPr>
        <w:t>可</w:t>
      </w:r>
      <w:r w:rsidR="00CF16EF">
        <w:t>获取</w:t>
      </w:r>
      <w:r w:rsidR="000249A7" w:rsidRPr="000249A7">
        <w:rPr>
          <w:rFonts w:hint="eastAsia"/>
        </w:rPr>
        <w:t>，在采样</w:t>
      </w:r>
      <w:r w:rsidR="008B3352">
        <w:rPr>
          <w:rFonts w:hint="eastAsia"/>
        </w:rPr>
        <w:t>时相应的功能是活跃</w:t>
      </w:r>
      <w:r w:rsidR="008B3352">
        <w:t>的</w:t>
      </w:r>
      <w:r w:rsidR="007946DC">
        <w:rPr>
          <w:rFonts w:hint="eastAsia"/>
        </w:rPr>
        <w:t>，并且有足够的种群大小和采样</w:t>
      </w:r>
      <w:proofErr w:type="gramStart"/>
      <w:r w:rsidR="000249A7" w:rsidRPr="000249A7">
        <w:rPr>
          <w:rFonts w:hint="eastAsia"/>
        </w:rPr>
        <w:t>量</w:t>
      </w:r>
      <w:r w:rsidR="007946DC">
        <w:rPr>
          <w:rFonts w:hint="eastAsia"/>
        </w:rPr>
        <w:t>用于</w:t>
      </w:r>
      <w:proofErr w:type="gramEnd"/>
      <w:r w:rsidR="007946DC">
        <w:rPr>
          <w:rFonts w:hint="eastAsia"/>
        </w:rPr>
        <w:t>检测</w:t>
      </w:r>
      <w:r w:rsidR="000249A7" w:rsidRPr="000249A7">
        <w:rPr>
          <w:rFonts w:hint="eastAsia"/>
        </w:rPr>
        <w:t>，测量微生物</w:t>
      </w:r>
      <w:r w:rsidR="007946DC">
        <w:rPr>
          <w:rFonts w:hint="eastAsia"/>
        </w:rPr>
        <w:t>的</w:t>
      </w:r>
      <w:r w:rsidR="007946DC" w:rsidRPr="000249A7">
        <w:rPr>
          <w:rFonts w:hint="eastAsia"/>
        </w:rPr>
        <w:t>实际</w:t>
      </w:r>
      <w:r w:rsidR="000249A7" w:rsidRPr="000249A7">
        <w:rPr>
          <w:rFonts w:hint="eastAsia"/>
        </w:rPr>
        <w:t>功能才是</w:t>
      </w:r>
      <w:r w:rsidR="007946DC">
        <w:rPr>
          <w:rFonts w:hint="eastAsia"/>
        </w:rPr>
        <w:t>可行的</w:t>
      </w:r>
      <w:r w:rsidR="000249A7" w:rsidRPr="000249A7">
        <w:rPr>
          <w:rFonts w:hint="eastAsia"/>
        </w:rPr>
        <w:t>。</w:t>
      </w:r>
      <w:r w:rsidR="00B766A8" w:rsidRPr="00B766A8">
        <w:rPr>
          <w:rFonts w:hint="eastAsia"/>
        </w:rPr>
        <w:t>对于不满足这些标准的微生物群，使用实时荧光定量</w:t>
      </w:r>
      <w:r w:rsidR="00B766A8" w:rsidRPr="00B766A8">
        <w:rPr>
          <w:rFonts w:hint="eastAsia"/>
        </w:rPr>
        <w:t>PCR</w:t>
      </w:r>
      <w:r w:rsidR="00B766A8" w:rsidRPr="00B766A8">
        <w:rPr>
          <w:rFonts w:hint="eastAsia"/>
        </w:rPr>
        <w:t>等</w:t>
      </w:r>
      <w:r w:rsidR="00086F10">
        <w:rPr>
          <w:rFonts w:hint="eastAsia"/>
        </w:rPr>
        <w:t>额外</w:t>
      </w:r>
      <w:r w:rsidR="00B766A8" w:rsidRPr="00B766A8">
        <w:rPr>
          <w:rFonts w:hint="eastAsia"/>
        </w:rPr>
        <w:t>技术</w:t>
      </w:r>
      <w:r w:rsidR="00086F10">
        <w:rPr>
          <w:rFonts w:hint="eastAsia"/>
        </w:rPr>
        <w:t>是对某类功能</w:t>
      </w:r>
      <w:r w:rsidR="00086F10" w:rsidRPr="00B766A8">
        <w:rPr>
          <w:rFonts w:hint="eastAsia"/>
        </w:rPr>
        <w:t>基因</w:t>
      </w:r>
      <w:r w:rsidR="00086F10">
        <w:rPr>
          <w:rFonts w:hint="eastAsia"/>
        </w:rPr>
        <w:t>遗传潜能</w:t>
      </w:r>
      <w:r w:rsidR="00086F10" w:rsidRPr="00B766A8">
        <w:rPr>
          <w:rFonts w:hint="eastAsia"/>
        </w:rPr>
        <w:t>定量</w:t>
      </w:r>
      <w:r w:rsidR="00086F10">
        <w:rPr>
          <w:rFonts w:hint="eastAsia"/>
        </w:rPr>
        <w:t>表征</w:t>
      </w:r>
      <w:r w:rsidR="00086F10">
        <w:t>的</w:t>
      </w:r>
      <w:r w:rsidR="00086F10">
        <w:rPr>
          <w:rFonts w:hint="eastAsia"/>
        </w:rPr>
        <w:t>一种有意义的补充</w:t>
      </w:r>
      <w:r w:rsidR="00B766A8" w:rsidRPr="00B766A8">
        <w:rPr>
          <w:rFonts w:hint="eastAsia"/>
        </w:rPr>
        <w:t>。</w:t>
      </w:r>
      <w:r w:rsidR="00086F10" w:rsidRPr="00086F10">
        <w:rPr>
          <w:rFonts w:hint="eastAsia"/>
        </w:rPr>
        <w:t>但必须指出的是，这些遗传潜能并不一定转化为微生物活动和过程</w:t>
      </w:r>
      <w:r w:rsidR="00086F10" w:rsidRPr="00086F10">
        <w:rPr>
          <w:rFonts w:hint="eastAsia"/>
        </w:rPr>
        <w:t>[44</w:t>
      </w:r>
      <w:r w:rsidR="00086F10">
        <w:rPr>
          <w:rFonts w:ascii="Times New Roman" w:eastAsia="Times New Roman" w:hAnsi="Times New Roman" w:cs="Times New Roman"/>
        </w:rPr>
        <w:t>–</w:t>
      </w:r>
      <w:r w:rsidR="00086F10" w:rsidRPr="00086F10">
        <w:rPr>
          <w:rFonts w:hint="eastAsia"/>
        </w:rPr>
        <w:t>46]</w:t>
      </w:r>
      <w:r w:rsidR="00086F10">
        <w:rPr>
          <w:rFonts w:hint="eastAsia"/>
        </w:rPr>
        <w:t>。从这个角度来说</w:t>
      </w:r>
      <w:r w:rsidR="00086F10" w:rsidRPr="00086F10">
        <w:rPr>
          <w:rFonts w:hint="eastAsia"/>
        </w:rPr>
        <w:t>，</w:t>
      </w:r>
      <w:proofErr w:type="gramStart"/>
      <w:r w:rsidR="00086F10" w:rsidRPr="00086F10">
        <w:rPr>
          <w:rFonts w:hint="eastAsia"/>
        </w:rPr>
        <w:t>转录组</w:t>
      </w:r>
      <w:proofErr w:type="gramEnd"/>
      <w:r w:rsidR="00086F10" w:rsidRPr="00086F10">
        <w:rPr>
          <w:rFonts w:hint="eastAsia"/>
        </w:rPr>
        <w:t>学、蛋白质组学和</w:t>
      </w:r>
      <w:proofErr w:type="gramStart"/>
      <w:r w:rsidR="00086F10" w:rsidRPr="00086F10">
        <w:rPr>
          <w:rFonts w:hint="eastAsia"/>
        </w:rPr>
        <w:t>代谢组</w:t>
      </w:r>
      <w:proofErr w:type="gramEnd"/>
      <w:r w:rsidR="00086F10" w:rsidRPr="00086F10">
        <w:rPr>
          <w:rFonts w:hint="eastAsia"/>
        </w:rPr>
        <w:t>学等组学技术</w:t>
      </w:r>
      <w:r w:rsidR="00086F10">
        <w:rPr>
          <w:rFonts w:hint="eastAsia"/>
        </w:rPr>
        <w:t>有助于</w:t>
      </w:r>
      <w:r w:rsidR="00086F10" w:rsidRPr="00086F10">
        <w:rPr>
          <w:rFonts w:hint="eastAsia"/>
        </w:rPr>
        <w:t>探索</w:t>
      </w:r>
      <w:r w:rsidR="00086F10">
        <w:rPr>
          <w:rFonts w:hint="eastAsia"/>
        </w:rPr>
        <w:t>已经</w:t>
      </w:r>
      <w:r w:rsidR="00086F10" w:rsidRPr="00086F10">
        <w:rPr>
          <w:rFonts w:hint="eastAsia"/>
        </w:rPr>
        <w:t>表达的遗传潜能。</w:t>
      </w:r>
      <w:r w:rsidR="0032776A" w:rsidRPr="0032776A">
        <w:rPr>
          <w:rFonts w:hint="eastAsia"/>
        </w:rPr>
        <w:t>我们认为，结合</w:t>
      </w:r>
      <w:r w:rsidR="006F0184" w:rsidRPr="0032776A">
        <w:rPr>
          <w:rFonts w:hint="eastAsia"/>
        </w:rPr>
        <w:t>功能预测和</w:t>
      </w:r>
      <w:r w:rsidR="0008633C">
        <w:rPr>
          <w:rFonts w:hint="eastAsia"/>
        </w:rPr>
        <w:t>特定</w:t>
      </w:r>
      <w:r w:rsidR="006F0184" w:rsidRPr="0032776A">
        <w:rPr>
          <w:rFonts w:hint="eastAsia"/>
        </w:rPr>
        <w:t>功能</w:t>
      </w:r>
      <w:r w:rsidR="0032776A" w:rsidRPr="0032776A">
        <w:rPr>
          <w:rFonts w:hint="eastAsia"/>
        </w:rPr>
        <w:t>的实际</w:t>
      </w:r>
      <w:r w:rsidR="006F0184">
        <w:rPr>
          <w:rFonts w:hint="eastAsia"/>
        </w:rPr>
        <w:t>测定</w:t>
      </w:r>
      <w:r w:rsidR="0032776A" w:rsidRPr="0032776A">
        <w:rPr>
          <w:rFonts w:hint="eastAsia"/>
        </w:rPr>
        <w:t>是了解微生物功能的一个强有力的方法。</w:t>
      </w:r>
    </w:p>
    <w:p w14:paraId="6E5001A3" w14:textId="77777777" w:rsidR="00D6742B" w:rsidRDefault="00D6742B" w:rsidP="00AB6D1B">
      <w:pPr>
        <w:ind w:firstLineChars="200" w:firstLine="420"/>
      </w:pPr>
    </w:p>
    <w:p w14:paraId="0E5BCD91" w14:textId="77777777" w:rsidR="00D6742B" w:rsidRPr="00DB58BE" w:rsidRDefault="00D6742B" w:rsidP="00DB58BE">
      <w:pPr>
        <w:spacing w:line="480" w:lineRule="auto"/>
        <w:outlineLvl w:val="1"/>
        <w:rPr>
          <w:rFonts w:ascii="Times New Roman" w:hAnsi="Times New Roman" w:cs="Times New Roman"/>
          <w:b/>
          <w:sz w:val="30"/>
          <w:szCs w:val="30"/>
        </w:rPr>
      </w:pPr>
      <w:r w:rsidRPr="00DB58BE">
        <w:rPr>
          <w:rFonts w:ascii="Times New Roman" w:hAnsi="Times New Roman" w:cs="Times New Roman" w:hint="eastAsia"/>
          <w:b/>
          <w:sz w:val="30"/>
          <w:szCs w:val="30"/>
        </w:rPr>
        <w:t>产生</w:t>
      </w:r>
      <w:r w:rsidRPr="00DB58BE">
        <w:rPr>
          <w:rFonts w:ascii="Times New Roman" w:hAnsi="Times New Roman" w:cs="Times New Roman"/>
          <w:b/>
          <w:sz w:val="30"/>
          <w:szCs w:val="30"/>
        </w:rPr>
        <w:t>和验证假设</w:t>
      </w:r>
    </w:p>
    <w:p w14:paraId="72E9F72F" w14:textId="77777777" w:rsidR="00D6742B" w:rsidRDefault="00D63857" w:rsidP="00AB6D1B">
      <w:pPr>
        <w:ind w:firstLineChars="200" w:firstLine="420"/>
      </w:pPr>
      <w:r>
        <w:rPr>
          <w:rFonts w:hint="eastAsia"/>
        </w:rPr>
        <w:t>尽管有局限性，但我们承认功能预测有产生</w:t>
      </w:r>
      <w:r w:rsidRPr="00D63857">
        <w:rPr>
          <w:rFonts w:hint="eastAsia"/>
        </w:rPr>
        <w:t>新假设的特殊潜力</w:t>
      </w:r>
      <w:r>
        <w:rPr>
          <w:rFonts w:hint="eastAsia"/>
        </w:rPr>
        <w:t>。</w:t>
      </w:r>
      <w:r w:rsidR="003F6791" w:rsidRPr="003F6791">
        <w:rPr>
          <w:rFonts w:hint="eastAsia"/>
        </w:rPr>
        <w:t>然而，</w:t>
      </w:r>
      <w:r w:rsidR="003F6791">
        <w:rPr>
          <w:rFonts w:hint="eastAsia"/>
        </w:rPr>
        <w:t>我们</w:t>
      </w:r>
      <w:r w:rsidR="003F6791">
        <w:t>尤其</w:t>
      </w:r>
      <w:r w:rsidR="003F6791" w:rsidRPr="003F6791">
        <w:rPr>
          <w:rFonts w:hint="eastAsia"/>
        </w:rPr>
        <w:t>不</w:t>
      </w:r>
      <w:r w:rsidR="003F6791">
        <w:rPr>
          <w:rFonts w:hint="eastAsia"/>
        </w:rPr>
        <w:t>能忽视微生物群落</w:t>
      </w:r>
      <w:r w:rsidR="003F6791" w:rsidRPr="003F6791">
        <w:rPr>
          <w:rFonts w:hint="eastAsia"/>
        </w:rPr>
        <w:t>是复杂的。因此，功能</w:t>
      </w:r>
      <w:r w:rsidR="003F6791">
        <w:rPr>
          <w:rFonts w:hint="eastAsia"/>
        </w:rPr>
        <w:t>组成</w:t>
      </w:r>
      <w:r w:rsidR="003F6791" w:rsidRPr="003F6791">
        <w:rPr>
          <w:rFonts w:hint="eastAsia"/>
        </w:rPr>
        <w:t>是高维的，很难分析。这意味着通常潜在功能预测工具会</w:t>
      </w:r>
      <w:r w:rsidR="003F6791">
        <w:rPr>
          <w:rFonts w:hint="eastAsia"/>
        </w:rPr>
        <w:t>引发</w:t>
      </w:r>
      <w:r w:rsidR="003F6791" w:rsidRPr="003F6791">
        <w:rPr>
          <w:rFonts w:hint="eastAsia"/>
        </w:rPr>
        <w:t>太多的研究方向，</w:t>
      </w:r>
      <w:r w:rsidR="003F6791">
        <w:rPr>
          <w:rFonts w:hint="eastAsia"/>
        </w:rPr>
        <w:t>而</w:t>
      </w:r>
      <w:r w:rsidR="003F6791" w:rsidRPr="003F6791">
        <w:rPr>
          <w:rFonts w:hint="eastAsia"/>
        </w:rPr>
        <w:t>产生直接的假设变得困难。我们强烈鼓励研究人员选择有意义的假设，并尽可能独立地检验这些假设。例如</w:t>
      </w:r>
      <w:r w:rsidR="003F6791" w:rsidRPr="003F6791">
        <w:rPr>
          <w:rFonts w:hint="eastAsia"/>
        </w:rPr>
        <w:t xml:space="preserve">Zhang </w:t>
      </w:r>
      <w:r w:rsidR="00F34966">
        <w:rPr>
          <w:rFonts w:hint="eastAsia"/>
        </w:rPr>
        <w:t>等人</w:t>
      </w:r>
      <w:r w:rsidR="003F6791" w:rsidRPr="003F6791">
        <w:rPr>
          <w:rFonts w:hint="eastAsia"/>
        </w:rPr>
        <w:t>[47]</w:t>
      </w:r>
      <w:r w:rsidR="003F6791" w:rsidRPr="003F6791">
        <w:rPr>
          <w:rFonts w:hint="eastAsia"/>
        </w:rPr>
        <w:t>预测了小鼠肠道菌群的代谢功能，并通过核磁共振</w:t>
      </w:r>
      <w:proofErr w:type="gramStart"/>
      <w:r w:rsidR="003F6791" w:rsidRPr="003F6791">
        <w:rPr>
          <w:rFonts w:hint="eastAsia"/>
        </w:rPr>
        <w:t>代谢组学成功</w:t>
      </w:r>
      <w:proofErr w:type="gramEnd"/>
      <w:r w:rsidR="003F6791" w:rsidRPr="003F6791">
        <w:rPr>
          <w:rFonts w:hint="eastAsia"/>
        </w:rPr>
        <w:t>验证了他们的预测。</w:t>
      </w:r>
      <w:r w:rsidR="00F34966" w:rsidRPr="00F34966">
        <w:rPr>
          <w:rFonts w:hint="eastAsia"/>
        </w:rPr>
        <w:t>同样，</w:t>
      </w:r>
      <w:r w:rsidR="00F34966" w:rsidRPr="00F34966">
        <w:rPr>
          <w:rFonts w:hint="eastAsia"/>
        </w:rPr>
        <w:t>Wu</w:t>
      </w:r>
      <w:r w:rsidR="00F34966" w:rsidRPr="00F34966">
        <w:rPr>
          <w:rFonts w:hint="eastAsia"/>
        </w:rPr>
        <w:t>等人</w:t>
      </w:r>
      <w:r w:rsidR="00F34966" w:rsidRPr="00F34966">
        <w:rPr>
          <w:rFonts w:hint="eastAsia"/>
        </w:rPr>
        <w:t>[48]</w:t>
      </w:r>
      <w:r w:rsidR="00F34966" w:rsidRPr="00F34966">
        <w:rPr>
          <w:rFonts w:hint="eastAsia"/>
        </w:rPr>
        <w:t>预测了结直肠腺瘤和结直肠癌患者肠道微生物组相比健康个体</w:t>
      </w:r>
      <w:r w:rsidR="00F34966">
        <w:rPr>
          <w:rFonts w:hint="eastAsia"/>
        </w:rPr>
        <w:t>发生了</w:t>
      </w:r>
      <w:r w:rsidR="00F34966" w:rsidRPr="00F34966">
        <w:rPr>
          <w:rFonts w:hint="eastAsia"/>
        </w:rPr>
        <w:t>生物合成途径的改变</w:t>
      </w:r>
      <w:r w:rsidR="00F34966">
        <w:rPr>
          <w:rFonts w:hint="eastAsia"/>
        </w:rPr>
        <w:t>，且</w:t>
      </w:r>
      <w:r w:rsidR="00F34966" w:rsidRPr="00F34966">
        <w:rPr>
          <w:rFonts w:hint="eastAsia"/>
        </w:rPr>
        <w:t>通过</w:t>
      </w:r>
      <w:r w:rsidR="00F34966" w:rsidRPr="00B766A8">
        <w:rPr>
          <w:rFonts w:hint="eastAsia"/>
        </w:rPr>
        <w:t>实时荧光定量</w:t>
      </w:r>
      <w:r w:rsidR="00F34966" w:rsidRPr="00F34966">
        <w:rPr>
          <w:rFonts w:hint="eastAsia"/>
        </w:rPr>
        <w:t>PCR</w:t>
      </w:r>
      <w:r w:rsidR="00F34966">
        <w:rPr>
          <w:rFonts w:hint="eastAsia"/>
        </w:rPr>
        <w:t>定量测定</w:t>
      </w:r>
      <w:r w:rsidR="00F34966" w:rsidRPr="00F34966">
        <w:rPr>
          <w:rFonts w:hint="eastAsia"/>
        </w:rPr>
        <w:t>这些途径中的基因验证了他们的预测。尽管</w:t>
      </w:r>
      <w:r w:rsidR="00F34966">
        <w:rPr>
          <w:rFonts w:hint="eastAsia"/>
        </w:rPr>
        <w:t>有关验证预测</w:t>
      </w:r>
      <w:r w:rsidR="00F34966" w:rsidRPr="00F34966">
        <w:rPr>
          <w:rFonts w:hint="eastAsia"/>
        </w:rPr>
        <w:t>功能的研究是</w:t>
      </w:r>
      <w:r w:rsidR="00F34966">
        <w:rPr>
          <w:rFonts w:hint="eastAsia"/>
        </w:rPr>
        <w:t>个例</w:t>
      </w:r>
      <w:r w:rsidR="00F34966" w:rsidRPr="00F34966">
        <w:rPr>
          <w:rFonts w:hint="eastAsia"/>
        </w:rPr>
        <w:t>而不是规律，但这些例子说明了</w:t>
      </w:r>
      <w:r w:rsidR="00F34966">
        <w:rPr>
          <w:rFonts w:hint="eastAsia"/>
        </w:rPr>
        <w:t>潜在</w:t>
      </w:r>
      <w:r w:rsidR="00F34966" w:rsidRPr="00F34966">
        <w:rPr>
          <w:rFonts w:hint="eastAsia"/>
        </w:rPr>
        <w:t>功能预测在发现和探索新的研究方向方面的</w:t>
      </w:r>
      <w:r w:rsidR="00F34966">
        <w:rPr>
          <w:rFonts w:hint="eastAsia"/>
        </w:rPr>
        <w:t>优势</w:t>
      </w:r>
      <w:r w:rsidR="00F34966" w:rsidRPr="00F34966">
        <w:rPr>
          <w:rFonts w:hint="eastAsia"/>
        </w:rPr>
        <w:t>。</w:t>
      </w:r>
    </w:p>
    <w:p w14:paraId="14BCB92B" w14:textId="77777777" w:rsidR="00F34966" w:rsidRPr="00DB58BE" w:rsidRDefault="00F34966" w:rsidP="00DB58BE">
      <w:pPr>
        <w:spacing w:line="480" w:lineRule="auto"/>
        <w:outlineLvl w:val="1"/>
        <w:rPr>
          <w:rFonts w:ascii="Times New Roman" w:hAnsi="Times New Roman" w:cs="Times New Roman"/>
          <w:b/>
          <w:sz w:val="30"/>
          <w:szCs w:val="30"/>
        </w:rPr>
      </w:pPr>
      <w:r w:rsidRPr="00DB58BE">
        <w:rPr>
          <w:rFonts w:ascii="Times New Roman" w:hAnsi="Times New Roman" w:cs="Times New Roman" w:hint="eastAsia"/>
          <w:b/>
          <w:sz w:val="30"/>
          <w:szCs w:val="30"/>
        </w:rPr>
        <w:t>总结</w:t>
      </w:r>
    </w:p>
    <w:p w14:paraId="27185A19" w14:textId="5967DFC4" w:rsidR="00F34966" w:rsidRDefault="00F34966" w:rsidP="00AB6D1B">
      <w:pPr>
        <w:ind w:firstLineChars="200" w:firstLine="420"/>
      </w:pPr>
      <w:r w:rsidRPr="00F34966">
        <w:rPr>
          <w:rFonts w:hint="eastAsia"/>
        </w:rPr>
        <w:t>本</w:t>
      </w:r>
      <w:r>
        <w:rPr>
          <w:rFonts w:hint="eastAsia"/>
        </w:rPr>
        <w:t>文</w:t>
      </w:r>
      <w:r w:rsidRPr="00F34966">
        <w:rPr>
          <w:rFonts w:hint="eastAsia"/>
        </w:rPr>
        <w:t>中所讨论的微生物</w:t>
      </w:r>
      <w:proofErr w:type="gramStart"/>
      <w:r w:rsidRPr="00F34966">
        <w:rPr>
          <w:rFonts w:hint="eastAsia"/>
        </w:rPr>
        <w:t>组功能</w:t>
      </w:r>
      <w:proofErr w:type="gramEnd"/>
      <w:r w:rsidRPr="00F34966">
        <w:rPr>
          <w:rFonts w:hint="eastAsia"/>
        </w:rPr>
        <w:t>潜能预测的</w:t>
      </w:r>
      <w:r w:rsidR="00D93AA6">
        <w:rPr>
          <w:rFonts w:hint="eastAsia"/>
        </w:rPr>
        <w:t>问题</w:t>
      </w:r>
      <w:r w:rsidRPr="00F34966">
        <w:rPr>
          <w:rFonts w:hint="eastAsia"/>
        </w:rPr>
        <w:t>、益处和替代方案</w:t>
      </w:r>
      <w:r w:rsidR="008F7A50">
        <w:rPr>
          <w:rFonts w:hint="eastAsia"/>
        </w:rPr>
        <w:t>见</w:t>
      </w:r>
      <w:r w:rsidRPr="00F34966">
        <w:rPr>
          <w:rFonts w:hint="eastAsia"/>
        </w:rPr>
        <w:t>图</w:t>
      </w:r>
      <w:r w:rsidRPr="00F34966">
        <w:rPr>
          <w:rFonts w:hint="eastAsia"/>
        </w:rPr>
        <w:t>1</w:t>
      </w:r>
      <w:r w:rsidR="008F7A50">
        <w:rPr>
          <w:rFonts w:hint="eastAsia"/>
        </w:rPr>
        <w:t>。</w:t>
      </w:r>
      <w:r w:rsidR="00D93AA6" w:rsidRPr="00D93AA6">
        <w:rPr>
          <w:rFonts w:hint="eastAsia"/>
        </w:rPr>
        <w:t>总的来说，我们</w:t>
      </w:r>
      <w:r w:rsidR="00D93AA6">
        <w:rPr>
          <w:rFonts w:hint="eastAsia"/>
        </w:rPr>
        <w:t>肯定那些</w:t>
      </w:r>
      <w:r w:rsidR="00D93AA6" w:rsidRPr="00D93AA6">
        <w:rPr>
          <w:rFonts w:hint="eastAsia"/>
        </w:rPr>
        <w:t>为</w:t>
      </w:r>
      <w:r w:rsidR="00D93AA6">
        <w:rPr>
          <w:rFonts w:hint="eastAsia"/>
        </w:rPr>
        <w:t>实现</w:t>
      </w:r>
      <w:r w:rsidR="00D93AA6" w:rsidRPr="00D93AA6">
        <w:rPr>
          <w:rFonts w:hint="eastAsia"/>
        </w:rPr>
        <w:t>微生物组分类学数据</w:t>
      </w:r>
      <w:proofErr w:type="gramStart"/>
      <w:r w:rsidR="00D93AA6" w:rsidRPr="00D93AA6">
        <w:rPr>
          <w:rFonts w:hint="eastAsia"/>
        </w:rPr>
        <w:t>集功能</w:t>
      </w:r>
      <w:proofErr w:type="gramEnd"/>
      <w:r w:rsidR="00D93AA6" w:rsidRPr="00D93AA6">
        <w:rPr>
          <w:rFonts w:hint="eastAsia"/>
        </w:rPr>
        <w:t>预测所做的努力</w:t>
      </w:r>
      <w:r w:rsidR="00D93AA6">
        <w:rPr>
          <w:rFonts w:hint="eastAsia"/>
        </w:rPr>
        <w:t>，</w:t>
      </w:r>
      <w:r w:rsidR="00D93AA6" w:rsidRPr="00D93AA6">
        <w:rPr>
          <w:rFonts w:hint="eastAsia"/>
        </w:rPr>
        <w:t>也</w:t>
      </w:r>
      <w:r w:rsidR="00D93AA6">
        <w:rPr>
          <w:rFonts w:hint="eastAsia"/>
        </w:rPr>
        <w:t>坚</w:t>
      </w:r>
      <w:r w:rsidR="00D93AA6" w:rsidRPr="00D93AA6">
        <w:rPr>
          <w:rFonts w:hint="eastAsia"/>
        </w:rPr>
        <w:t>信功能预测有助于产生新的思路</w:t>
      </w:r>
      <w:r w:rsidR="00D93AA6">
        <w:rPr>
          <w:rFonts w:hint="eastAsia"/>
        </w:rPr>
        <w:t>和</w:t>
      </w:r>
      <w:r w:rsidR="00D93AA6" w:rsidRPr="00D93AA6">
        <w:rPr>
          <w:rFonts w:hint="eastAsia"/>
        </w:rPr>
        <w:t>潜在研究方向。</w:t>
      </w:r>
      <w:r w:rsidR="00D93AA6">
        <w:rPr>
          <w:rFonts w:hint="eastAsia"/>
        </w:rPr>
        <w:t>但</w:t>
      </w:r>
      <w:r w:rsidR="00D93AA6" w:rsidRPr="00D93AA6">
        <w:rPr>
          <w:rFonts w:hint="eastAsia"/>
        </w:rPr>
        <w:t>我们认为，在提取微生物组</w:t>
      </w:r>
      <w:r w:rsidR="00D93AA6" w:rsidRPr="00D93AA6">
        <w:rPr>
          <w:rFonts w:hint="eastAsia"/>
        </w:rPr>
        <w:t>DNA</w:t>
      </w:r>
      <w:r w:rsidR="00D93AA6" w:rsidRPr="00D93AA6">
        <w:rPr>
          <w:rFonts w:hint="eastAsia"/>
        </w:rPr>
        <w:t>的基础上进行短读长扩增子测序预测微生物</w:t>
      </w:r>
      <w:proofErr w:type="gramStart"/>
      <w:r w:rsidR="00D93AA6" w:rsidRPr="00D93AA6">
        <w:rPr>
          <w:rFonts w:hint="eastAsia"/>
        </w:rPr>
        <w:t>组功能</w:t>
      </w:r>
      <w:proofErr w:type="gramEnd"/>
      <w:r w:rsidR="00D93AA6" w:rsidRPr="00D93AA6">
        <w:rPr>
          <w:rFonts w:hint="eastAsia"/>
        </w:rPr>
        <w:t>不应作为生物学推断的唯一基准</w:t>
      </w:r>
      <w:r w:rsidR="00D93AA6">
        <w:rPr>
          <w:rFonts w:hint="eastAsia"/>
        </w:rPr>
        <w:t>，而</w:t>
      </w:r>
      <w:r w:rsidR="00D93AA6" w:rsidRPr="00D93AA6">
        <w:rPr>
          <w:rFonts w:hint="eastAsia"/>
        </w:rPr>
        <w:t>从短</w:t>
      </w:r>
      <w:proofErr w:type="gramStart"/>
      <w:r w:rsidR="00D93AA6" w:rsidRPr="00D93AA6">
        <w:rPr>
          <w:rFonts w:hint="eastAsia"/>
        </w:rPr>
        <w:t>读到长读测序</w:t>
      </w:r>
      <w:proofErr w:type="gramEnd"/>
      <w:r w:rsidR="00D93AA6" w:rsidRPr="00D93AA6">
        <w:rPr>
          <w:rFonts w:hint="eastAsia"/>
        </w:rPr>
        <w:t>技术的转变将有助于克服这些</w:t>
      </w:r>
      <w:r w:rsidR="00D93AA6">
        <w:rPr>
          <w:rFonts w:hint="eastAsia"/>
        </w:rPr>
        <w:t>问题</w:t>
      </w:r>
      <w:r w:rsidR="00D93AA6" w:rsidRPr="00D93AA6">
        <w:rPr>
          <w:rFonts w:hint="eastAsia"/>
        </w:rPr>
        <w:t>。</w:t>
      </w:r>
      <w:r w:rsidR="008676FF" w:rsidRPr="008676FF">
        <w:rPr>
          <w:rFonts w:hint="eastAsia"/>
        </w:rPr>
        <w:t>尽管如此，高分辨率的分类分析并不能解决我们提出的关键问题</w:t>
      </w:r>
      <w:r w:rsidR="008676FF" w:rsidRPr="008676FF">
        <w:rPr>
          <w:rFonts w:hint="eastAsia"/>
        </w:rPr>
        <w:t>(</w:t>
      </w:r>
      <w:r w:rsidR="008676FF" w:rsidRPr="008676FF">
        <w:rPr>
          <w:rFonts w:hint="eastAsia"/>
        </w:rPr>
        <w:t>例如，微生物组数据的组成性质</w:t>
      </w:r>
      <w:r w:rsidR="008676FF" w:rsidRPr="008676FF">
        <w:rPr>
          <w:rFonts w:hint="eastAsia"/>
        </w:rPr>
        <w:t>)</w:t>
      </w:r>
      <w:r w:rsidR="008676FF" w:rsidRPr="008676FF">
        <w:rPr>
          <w:rFonts w:hint="eastAsia"/>
        </w:rPr>
        <w:t>。因此，</w:t>
      </w:r>
      <w:r w:rsidR="008676FF">
        <w:rPr>
          <w:rFonts w:hint="eastAsia"/>
        </w:rPr>
        <w:t>在</w:t>
      </w:r>
      <w:r w:rsidR="00B3619C">
        <w:rPr>
          <w:rFonts w:hint="eastAsia"/>
        </w:rPr>
        <w:t>功能</w:t>
      </w:r>
      <w:r w:rsidR="00B3619C">
        <w:t>预测的同时，结合</w:t>
      </w:r>
      <w:proofErr w:type="gramStart"/>
      <w:r w:rsidR="008676FF" w:rsidRPr="008676FF">
        <w:rPr>
          <w:rFonts w:hint="eastAsia"/>
        </w:rPr>
        <w:t>使用组</w:t>
      </w:r>
      <w:proofErr w:type="gramEnd"/>
      <w:r w:rsidR="008676FF" w:rsidRPr="008676FF">
        <w:rPr>
          <w:rFonts w:hint="eastAsia"/>
        </w:rPr>
        <w:t>学</w:t>
      </w:r>
      <w:r w:rsidR="008676FF" w:rsidRPr="008676FF">
        <w:rPr>
          <w:rFonts w:hint="eastAsia"/>
        </w:rPr>
        <w:t>(</w:t>
      </w:r>
      <w:r w:rsidR="008676FF" w:rsidRPr="008676FF">
        <w:rPr>
          <w:rFonts w:hint="eastAsia"/>
        </w:rPr>
        <w:t>如</w:t>
      </w:r>
      <w:proofErr w:type="gramStart"/>
      <w:r w:rsidR="008676FF" w:rsidRPr="008676FF">
        <w:rPr>
          <w:rFonts w:hint="eastAsia"/>
        </w:rPr>
        <w:t>代谢组</w:t>
      </w:r>
      <w:proofErr w:type="gramEnd"/>
      <w:r w:rsidR="008676FF" w:rsidRPr="008676FF">
        <w:rPr>
          <w:rFonts w:hint="eastAsia"/>
        </w:rPr>
        <w:t>学</w:t>
      </w:r>
      <w:r w:rsidR="008676FF" w:rsidRPr="008676FF">
        <w:rPr>
          <w:rFonts w:hint="eastAsia"/>
        </w:rPr>
        <w:t>)</w:t>
      </w:r>
      <w:r w:rsidR="008676FF" w:rsidRPr="008676FF">
        <w:rPr>
          <w:rFonts w:hint="eastAsia"/>
        </w:rPr>
        <w:t>和非组学方法</w:t>
      </w:r>
      <w:r w:rsidR="008676FF" w:rsidRPr="008676FF">
        <w:rPr>
          <w:rFonts w:hint="eastAsia"/>
        </w:rPr>
        <w:t>(</w:t>
      </w:r>
      <w:r w:rsidR="008676FF" w:rsidRPr="008676FF">
        <w:rPr>
          <w:rFonts w:hint="eastAsia"/>
        </w:rPr>
        <w:t>如</w:t>
      </w:r>
      <w:r w:rsidR="008676FF" w:rsidRPr="008676FF">
        <w:rPr>
          <w:rFonts w:hint="eastAsia"/>
        </w:rPr>
        <w:t>qPCR)</w:t>
      </w:r>
      <w:r w:rsidR="008676FF">
        <w:rPr>
          <w:rFonts w:hint="eastAsia"/>
        </w:rPr>
        <w:t>表征微生物</w:t>
      </w:r>
      <w:proofErr w:type="gramStart"/>
      <w:r w:rsidR="008676FF" w:rsidRPr="008676FF">
        <w:rPr>
          <w:rFonts w:hint="eastAsia"/>
        </w:rPr>
        <w:t>活性对</w:t>
      </w:r>
      <w:proofErr w:type="gramEnd"/>
      <w:r w:rsidR="008676FF" w:rsidRPr="008676FF">
        <w:rPr>
          <w:rFonts w:hint="eastAsia"/>
        </w:rPr>
        <w:t>阐明微生物</w:t>
      </w:r>
      <w:proofErr w:type="gramStart"/>
      <w:r w:rsidR="008676FF" w:rsidRPr="008676FF">
        <w:rPr>
          <w:rFonts w:hint="eastAsia"/>
        </w:rPr>
        <w:t>组功能</w:t>
      </w:r>
      <w:proofErr w:type="gramEnd"/>
      <w:r w:rsidR="008676FF" w:rsidRPr="008676FF">
        <w:rPr>
          <w:rFonts w:hint="eastAsia"/>
        </w:rPr>
        <w:t>至关重要。</w:t>
      </w:r>
    </w:p>
    <w:p w14:paraId="010043D7" w14:textId="02373639" w:rsidR="00DB58BE" w:rsidRDefault="00DB58BE" w:rsidP="00AB6D1B">
      <w:pPr>
        <w:ind w:firstLineChars="200" w:firstLine="420"/>
      </w:pPr>
    </w:p>
    <w:p w14:paraId="71CBEF07" w14:textId="77777777" w:rsidR="00DB58BE" w:rsidRDefault="00DB58BE" w:rsidP="00DB58BE">
      <w:pPr>
        <w:autoSpaceDE w:val="0"/>
        <w:autoSpaceDN w:val="0"/>
        <w:adjustRightInd w:val="0"/>
        <w:jc w:val="left"/>
        <w:rPr>
          <w:rFonts w:ascii="Times New Roman" w:hAnsi="Times New Roman" w:cs="Times New Roman"/>
          <w:kern w:val="0"/>
          <w:sz w:val="18"/>
          <w:szCs w:val="18"/>
        </w:rPr>
      </w:pPr>
      <w:r w:rsidRPr="00DB58BE">
        <w:rPr>
          <w:rFonts w:hint="eastAsia"/>
          <w:b/>
          <w:bCs/>
        </w:rPr>
        <w:t>引文格式</w:t>
      </w:r>
      <w:r>
        <w:rPr>
          <w:rFonts w:hint="eastAsia"/>
        </w:rPr>
        <w:t>：</w:t>
      </w:r>
      <w:r>
        <w:rPr>
          <w:rFonts w:ascii="Times New Roman" w:hAnsi="Times New Roman" w:cs="Times New Roman"/>
          <w:kern w:val="0"/>
          <w:sz w:val="18"/>
          <w:szCs w:val="18"/>
        </w:rPr>
        <w:t xml:space="preserve">Vitor Heidrich, Lukas </w:t>
      </w:r>
      <w:proofErr w:type="spellStart"/>
      <w:r>
        <w:rPr>
          <w:rFonts w:ascii="Times New Roman" w:hAnsi="Times New Roman" w:cs="Times New Roman"/>
          <w:kern w:val="0"/>
          <w:sz w:val="18"/>
          <w:szCs w:val="18"/>
        </w:rPr>
        <w:t>Beule</w:t>
      </w:r>
      <w:proofErr w:type="spellEnd"/>
      <w:r>
        <w:rPr>
          <w:rFonts w:ascii="Times New Roman" w:hAnsi="Times New Roman" w:cs="Times New Roman"/>
          <w:kern w:val="0"/>
          <w:sz w:val="18"/>
          <w:szCs w:val="18"/>
        </w:rPr>
        <w:t xml:space="preserve">. 2022. Are short-read amplicons suitable for the prediction of microbiome functional potential? A critical perspective. </w:t>
      </w:r>
      <w:r>
        <w:rPr>
          <w:rFonts w:ascii="Times New Roman" w:hAnsi="Times New Roman" w:cs="Times New Roman"/>
          <w:b/>
          <w:bCs/>
          <w:i/>
          <w:iCs/>
          <w:kern w:val="0"/>
          <w:sz w:val="18"/>
          <w:szCs w:val="18"/>
        </w:rPr>
        <w:t>iMeta</w:t>
      </w:r>
      <w:r>
        <w:rPr>
          <w:rFonts w:ascii="Times New Roman" w:hAnsi="Times New Roman" w:cs="Times New Roman"/>
          <w:kern w:val="0"/>
          <w:sz w:val="18"/>
          <w:szCs w:val="18"/>
        </w:rPr>
        <w:t xml:space="preserve"> 1: e38. </w:t>
      </w:r>
      <w:hyperlink r:id="rId10" w:history="1">
        <w:r>
          <w:rPr>
            <w:rFonts w:ascii="Times New Roman" w:hAnsi="Times New Roman" w:cs="Times New Roman"/>
            <w:kern w:val="0"/>
            <w:sz w:val="18"/>
            <w:szCs w:val="18"/>
          </w:rPr>
          <w:t>https://doi.org/10.1002/imt2.38</w:t>
        </w:r>
      </w:hyperlink>
    </w:p>
    <w:p w14:paraId="1B27D525" w14:textId="5D6D3AE6" w:rsidR="00DB58BE" w:rsidRPr="00DB58BE" w:rsidRDefault="00DB58BE" w:rsidP="00DB58BE">
      <w:pPr>
        <w:rPr>
          <w:rFonts w:hint="eastAsia"/>
        </w:rPr>
      </w:pPr>
      <w:r w:rsidRPr="00DB58BE">
        <w:rPr>
          <w:rFonts w:hint="eastAsia"/>
          <w:b/>
          <w:bCs/>
        </w:rPr>
        <w:t>原文链接</w:t>
      </w:r>
      <w:r>
        <w:rPr>
          <w:rFonts w:hint="eastAsia"/>
        </w:rPr>
        <w:t>：</w:t>
      </w:r>
      <w:hyperlink r:id="rId11" w:history="1">
        <w:r w:rsidRPr="00A065D8">
          <w:rPr>
            <w:rStyle w:val="a7"/>
          </w:rPr>
          <w:t>https://onlinelibrary.wiley.com/doi/full/10.1002/imt2.38</w:t>
        </w:r>
      </w:hyperlink>
      <w:r>
        <w:t xml:space="preserve"> </w:t>
      </w:r>
    </w:p>
    <w:sectPr w:rsidR="00DB58BE" w:rsidRPr="00DB5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jaVu Serif">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1004"/>
    <w:multiLevelType w:val="hybridMultilevel"/>
    <w:tmpl w:val="2684E5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4980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EB"/>
    <w:rsid w:val="000232F8"/>
    <w:rsid w:val="000249A7"/>
    <w:rsid w:val="00045564"/>
    <w:rsid w:val="0008633C"/>
    <w:rsid w:val="00086F10"/>
    <w:rsid w:val="000A27EB"/>
    <w:rsid w:val="000A4C92"/>
    <w:rsid w:val="000D466F"/>
    <w:rsid w:val="000E310A"/>
    <w:rsid w:val="000F2A4A"/>
    <w:rsid w:val="0011130D"/>
    <w:rsid w:val="00167ECE"/>
    <w:rsid w:val="00181D2D"/>
    <w:rsid w:val="001D54C5"/>
    <w:rsid w:val="002009AB"/>
    <w:rsid w:val="0021777D"/>
    <w:rsid w:val="0023665E"/>
    <w:rsid w:val="002A3F26"/>
    <w:rsid w:val="002B25B2"/>
    <w:rsid w:val="002E14A5"/>
    <w:rsid w:val="0032776A"/>
    <w:rsid w:val="0034088C"/>
    <w:rsid w:val="00351199"/>
    <w:rsid w:val="003A371D"/>
    <w:rsid w:val="003D19B2"/>
    <w:rsid w:val="003E1439"/>
    <w:rsid w:val="003E71D7"/>
    <w:rsid w:val="003F1792"/>
    <w:rsid w:val="003F6791"/>
    <w:rsid w:val="00446BD3"/>
    <w:rsid w:val="004753E4"/>
    <w:rsid w:val="004B25B5"/>
    <w:rsid w:val="004C48C2"/>
    <w:rsid w:val="00517AA9"/>
    <w:rsid w:val="005274C2"/>
    <w:rsid w:val="0054329C"/>
    <w:rsid w:val="005602B0"/>
    <w:rsid w:val="005A4FE1"/>
    <w:rsid w:val="005C5BDB"/>
    <w:rsid w:val="005C5D46"/>
    <w:rsid w:val="005C6CBB"/>
    <w:rsid w:val="005D3545"/>
    <w:rsid w:val="00612AE9"/>
    <w:rsid w:val="00627FF8"/>
    <w:rsid w:val="00636638"/>
    <w:rsid w:val="0068123F"/>
    <w:rsid w:val="00687BFE"/>
    <w:rsid w:val="006968C3"/>
    <w:rsid w:val="006A48A4"/>
    <w:rsid w:val="006F0184"/>
    <w:rsid w:val="006F2CA4"/>
    <w:rsid w:val="006F5F8B"/>
    <w:rsid w:val="00701CFC"/>
    <w:rsid w:val="00741F70"/>
    <w:rsid w:val="007946DC"/>
    <w:rsid w:val="007D3875"/>
    <w:rsid w:val="007D6FB5"/>
    <w:rsid w:val="00820B4A"/>
    <w:rsid w:val="008305A1"/>
    <w:rsid w:val="00852D09"/>
    <w:rsid w:val="008676FF"/>
    <w:rsid w:val="008862C6"/>
    <w:rsid w:val="008912E9"/>
    <w:rsid w:val="008B3352"/>
    <w:rsid w:val="008C0070"/>
    <w:rsid w:val="008E1535"/>
    <w:rsid w:val="008F7A50"/>
    <w:rsid w:val="00902556"/>
    <w:rsid w:val="00923A78"/>
    <w:rsid w:val="0095156F"/>
    <w:rsid w:val="00971340"/>
    <w:rsid w:val="009A4FA1"/>
    <w:rsid w:val="009C09C1"/>
    <w:rsid w:val="009D4DC6"/>
    <w:rsid w:val="00A143C7"/>
    <w:rsid w:val="00A17F17"/>
    <w:rsid w:val="00A253C1"/>
    <w:rsid w:val="00AB6D1B"/>
    <w:rsid w:val="00AE05C6"/>
    <w:rsid w:val="00AE2D6E"/>
    <w:rsid w:val="00AF1456"/>
    <w:rsid w:val="00B00AC0"/>
    <w:rsid w:val="00B13C96"/>
    <w:rsid w:val="00B3619C"/>
    <w:rsid w:val="00B766A8"/>
    <w:rsid w:val="00B87639"/>
    <w:rsid w:val="00B92AE4"/>
    <w:rsid w:val="00BC6B20"/>
    <w:rsid w:val="00BD7381"/>
    <w:rsid w:val="00C441B3"/>
    <w:rsid w:val="00C61D1C"/>
    <w:rsid w:val="00CA2D24"/>
    <w:rsid w:val="00CA5730"/>
    <w:rsid w:val="00CF16EF"/>
    <w:rsid w:val="00CF6D10"/>
    <w:rsid w:val="00D03908"/>
    <w:rsid w:val="00D101C4"/>
    <w:rsid w:val="00D63857"/>
    <w:rsid w:val="00D6742B"/>
    <w:rsid w:val="00D70C94"/>
    <w:rsid w:val="00D76C32"/>
    <w:rsid w:val="00D93AA6"/>
    <w:rsid w:val="00DB58BE"/>
    <w:rsid w:val="00DE5048"/>
    <w:rsid w:val="00E21EC6"/>
    <w:rsid w:val="00E25F9C"/>
    <w:rsid w:val="00ED1D86"/>
    <w:rsid w:val="00F2124E"/>
    <w:rsid w:val="00F274D3"/>
    <w:rsid w:val="00F34966"/>
    <w:rsid w:val="00F44B27"/>
    <w:rsid w:val="00F609F6"/>
    <w:rsid w:val="00FC0E72"/>
    <w:rsid w:val="00FF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BF81"/>
  <w15:chartTrackingRefBased/>
  <w15:docId w15:val="{BC42AB8C-6462-498E-9C52-97D4BBD2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8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68C3"/>
    <w:rPr>
      <w:b/>
      <w:bCs/>
    </w:rPr>
  </w:style>
  <w:style w:type="character" w:styleId="a5">
    <w:name w:val="Emphasis"/>
    <w:basedOn w:val="a0"/>
    <w:uiPriority w:val="20"/>
    <w:qFormat/>
    <w:rsid w:val="006968C3"/>
    <w:rPr>
      <w:i/>
      <w:iCs/>
    </w:rPr>
  </w:style>
  <w:style w:type="paragraph" w:styleId="a6">
    <w:name w:val="List Paragraph"/>
    <w:basedOn w:val="a"/>
    <w:uiPriority w:val="34"/>
    <w:qFormat/>
    <w:rsid w:val="006F5F8B"/>
    <w:pPr>
      <w:ind w:firstLineChars="200" w:firstLine="420"/>
    </w:pPr>
  </w:style>
  <w:style w:type="paragraph" w:customStyle="1" w:styleId="LO-normal">
    <w:name w:val="LO-normal"/>
    <w:qFormat/>
    <w:rsid w:val="004C48C2"/>
    <w:pPr>
      <w:suppressAutoHyphens/>
    </w:pPr>
    <w:rPr>
      <w:rFonts w:ascii="DejaVu Serif" w:eastAsia="DejaVu Serif" w:hAnsi="DejaVu Serif" w:cs="DejaVu Serif"/>
      <w:kern w:val="0"/>
      <w:sz w:val="24"/>
      <w:szCs w:val="24"/>
      <w:lang w:bidi="hi-IN"/>
    </w:rPr>
  </w:style>
  <w:style w:type="character" w:styleId="a7">
    <w:name w:val="Hyperlink"/>
    <w:basedOn w:val="a0"/>
    <w:uiPriority w:val="99"/>
    <w:unhideWhenUsed/>
    <w:rsid w:val="00DB58BE"/>
    <w:rPr>
      <w:color w:val="0563C1" w:themeColor="hyperlink"/>
      <w:u w:val="single"/>
    </w:rPr>
  </w:style>
  <w:style w:type="character" w:styleId="a8">
    <w:name w:val="Unresolved Mention"/>
    <w:basedOn w:val="a0"/>
    <w:uiPriority w:val="99"/>
    <w:semiHidden/>
    <w:unhideWhenUsed/>
    <w:rsid w:val="00DB5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38862">
      <w:bodyDiv w:val="1"/>
      <w:marLeft w:val="0"/>
      <w:marRight w:val="0"/>
      <w:marTop w:val="0"/>
      <w:marBottom w:val="0"/>
      <w:divBdr>
        <w:top w:val="none" w:sz="0" w:space="0" w:color="auto"/>
        <w:left w:val="none" w:sz="0" w:space="0" w:color="auto"/>
        <w:bottom w:val="none" w:sz="0" w:space="0" w:color="auto"/>
        <w:right w:val="none" w:sz="0" w:space="0" w:color="auto"/>
      </w:divBdr>
    </w:div>
    <w:div w:id="13091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beule@julius-kueh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heidrich@mochsl.org.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2/imt2.38" TargetMode="External"/><Relationship Id="rId11" Type="http://schemas.openxmlformats.org/officeDocument/2006/relationships/hyperlink" Target="https://onlinelibrary.wiley.com/doi/full/10.1002/imt2.38" TargetMode="External"/><Relationship Id="rId5" Type="http://schemas.openxmlformats.org/officeDocument/2006/relationships/image" Target="media/image1.png"/><Relationship Id="rId10" Type="http://schemas.openxmlformats.org/officeDocument/2006/relationships/hyperlink" Target="https://doi.org/10.1002/imt2.38"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818</Words>
  <Characters>4664</Characters>
  <Application>Microsoft Office Word</Application>
  <DocSecurity>0</DocSecurity>
  <Lines>38</Lines>
  <Paragraphs>10</Paragraphs>
  <ScaleCrop>false</ScaleCrop>
  <Company>Microsoft</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dc:creator>
  <cp:keywords/>
  <dc:description/>
  <cp:lastModifiedBy>Yong-Xin</cp:lastModifiedBy>
  <cp:revision>3</cp:revision>
  <dcterms:created xsi:type="dcterms:W3CDTF">2022-07-20T16:41:00Z</dcterms:created>
  <dcterms:modified xsi:type="dcterms:W3CDTF">2022-07-20T16:48:00Z</dcterms:modified>
</cp:coreProperties>
</file>